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97"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5"/>
        <w:gridCol w:w="2178"/>
        <w:gridCol w:w="502"/>
        <w:gridCol w:w="85"/>
        <w:gridCol w:w="1182"/>
        <w:gridCol w:w="172"/>
        <w:gridCol w:w="435"/>
        <w:gridCol w:w="420"/>
        <w:gridCol w:w="1497"/>
        <w:gridCol w:w="1177"/>
        <w:gridCol w:w="198"/>
        <w:gridCol w:w="1361"/>
        <w:gridCol w:w="1478"/>
        <w:gridCol w:w="31"/>
      </w:tblGrid>
      <w:tr w:rsidR="0052286D" w:rsidRPr="005954CB" w:rsidTr="00AE010D">
        <w:trPr>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shd w:val="clear" w:color="auto" w:fill="E6E6E6"/>
          </w:tcPr>
          <w:p w:rsidR="00CA0C8D" w:rsidRPr="005954CB" w:rsidRDefault="00CA0C8D" w:rsidP="00CA0C8D">
            <w:pPr>
              <w:rPr>
                <w:b/>
                <w:color w:val="auto"/>
                <w:sz w:val="16"/>
                <w:szCs w:val="18"/>
              </w:rPr>
            </w:pPr>
            <w:r w:rsidRPr="005954CB">
              <w:rPr>
                <w:b/>
                <w:color w:val="auto"/>
                <w:sz w:val="16"/>
                <w:szCs w:val="18"/>
              </w:rPr>
              <w:t>BNF Drug</w:t>
            </w:r>
          </w:p>
        </w:tc>
        <w:tc>
          <w:tcPr>
            <w:tcW w:w="1439" w:type="dxa"/>
            <w:gridSpan w:val="3"/>
            <w:tcBorders>
              <w:top w:val="outset" w:sz="6" w:space="0" w:color="auto"/>
              <w:left w:val="outset" w:sz="6" w:space="0" w:color="auto"/>
              <w:bottom w:val="outset" w:sz="6" w:space="0" w:color="auto"/>
              <w:right w:val="outset" w:sz="6" w:space="0" w:color="auto"/>
            </w:tcBorders>
            <w:shd w:val="clear" w:color="auto" w:fill="E6E6E6"/>
          </w:tcPr>
          <w:p w:rsidR="00CA0C8D" w:rsidRPr="005954CB" w:rsidRDefault="00CA0C8D" w:rsidP="00CA0C8D">
            <w:pPr>
              <w:rPr>
                <w:b/>
                <w:color w:val="auto"/>
                <w:sz w:val="16"/>
                <w:szCs w:val="18"/>
              </w:rPr>
            </w:pPr>
            <w:r w:rsidRPr="005954CB">
              <w:rPr>
                <w:b/>
                <w:color w:val="auto"/>
                <w:sz w:val="16"/>
                <w:szCs w:val="18"/>
              </w:rPr>
              <w:t xml:space="preserve">Use with </w:t>
            </w:r>
            <w:r w:rsidRPr="005954CB">
              <w:rPr>
                <w:b/>
                <w:color w:val="auto"/>
                <w:sz w:val="16"/>
                <w:szCs w:val="18"/>
              </w:rPr>
              <w:br/>
              <w:t>Breast feeding</w:t>
            </w:r>
          </w:p>
        </w:tc>
        <w:tc>
          <w:tcPr>
            <w:tcW w:w="3529" w:type="dxa"/>
            <w:gridSpan w:val="4"/>
            <w:tcBorders>
              <w:top w:val="outset" w:sz="6" w:space="0" w:color="auto"/>
              <w:left w:val="outset" w:sz="6" w:space="0" w:color="auto"/>
              <w:bottom w:val="outset" w:sz="6" w:space="0" w:color="auto"/>
              <w:right w:val="outset" w:sz="6" w:space="0" w:color="auto"/>
            </w:tcBorders>
            <w:shd w:val="clear" w:color="auto" w:fill="E6E6E6"/>
          </w:tcPr>
          <w:p w:rsidR="00CA0C8D" w:rsidRPr="005954CB" w:rsidRDefault="00CA0C8D" w:rsidP="00CA0C8D">
            <w:pPr>
              <w:rPr>
                <w:b/>
                <w:color w:val="auto"/>
                <w:sz w:val="16"/>
                <w:szCs w:val="18"/>
              </w:rPr>
            </w:pPr>
            <w:r w:rsidRPr="005954CB">
              <w:rPr>
                <w:b/>
                <w:color w:val="auto"/>
                <w:sz w:val="16"/>
                <w:szCs w:val="18"/>
              </w:rPr>
              <w:t>Comments</w:t>
            </w:r>
            <w:r w:rsidRPr="005954CB">
              <w:rPr>
                <w:b/>
                <w:color w:val="auto"/>
                <w:sz w:val="16"/>
                <w:szCs w:val="18"/>
              </w:rPr>
              <w:br/>
              <w:t>Further Information</w:t>
            </w:r>
          </w:p>
        </w:tc>
        <w:tc>
          <w:tcPr>
            <w:tcW w:w="1559" w:type="dxa"/>
            <w:gridSpan w:val="2"/>
            <w:tcBorders>
              <w:top w:val="outset" w:sz="6" w:space="0" w:color="auto"/>
              <w:left w:val="outset" w:sz="6" w:space="0" w:color="auto"/>
              <w:bottom w:val="outset" w:sz="6" w:space="0" w:color="auto"/>
              <w:right w:val="outset" w:sz="6" w:space="0" w:color="auto"/>
            </w:tcBorders>
            <w:shd w:val="clear" w:color="auto" w:fill="E6E6E6"/>
          </w:tcPr>
          <w:p w:rsidR="00CA0C8D" w:rsidRPr="005954CB" w:rsidRDefault="00CA0C8D" w:rsidP="00CA0C8D">
            <w:pPr>
              <w:rPr>
                <w:b/>
                <w:color w:val="auto"/>
                <w:sz w:val="16"/>
                <w:szCs w:val="18"/>
              </w:rPr>
            </w:pPr>
            <w:r w:rsidRPr="005954CB">
              <w:rPr>
                <w:b/>
                <w:color w:val="auto"/>
                <w:sz w:val="16"/>
                <w:szCs w:val="18"/>
              </w:rPr>
              <w:t>Suitable</w:t>
            </w:r>
            <w:r w:rsidRPr="005954CB">
              <w:rPr>
                <w:b/>
                <w:color w:val="auto"/>
                <w:sz w:val="16"/>
                <w:szCs w:val="18"/>
              </w:rPr>
              <w:br/>
              <w:t>Alternative(s)</w:t>
            </w:r>
          </w:p>
        </w:tc>
        <w:tc>
          <w:tcPr>
            <w:tcW w:w="1509" w:type="dxa"/>
            <w:gridSpan w:val="2"/>
            <w:tcBorders>
              <w:top w:val="outset" w:sz="6" w:space="0" w:color="auto"/>
              <w:left w:val="outset" w:sz="6" w:space="0" w:color="auto"/>
              <w:bottom w:val="outset" w:sz="6" w:space="0" w:color="auto"/>
              <w:right w:val="outset" w:sz="6" w:space="0" w:color="auto"/>
            </w:tcBorders>
            <w:shd w:val="clear" w:color="auto" w:fill="E6E6E6"/>
          </w:tcPr>
          <w:p w:rsidR="00CA0C8D" w:rsidRPr="005954CB" w:rsidRDefault="00CA0C8D" w:rsidP="00CA0C8D">
            <w:pPr>
              <w:rPr>
                <w:b/>
                <w:color w:val="auto"/>
                <w:sz w:val="16"/>
                <w:szCs w:val="18"/>
              </w:rPr>
            </w:pPr>
            <w:r w:rsidRPr="005954CB">
              <w:rPr>
                <w:b/>
                <w:color w:val="auto"/>
                <w:sz w:val="16"/>
                <w:szCs w:val="18"/>
              </w:rPr>
              <w:t>Evidence Links</w:t>
            </w:r>
          </w:p>
        </w:tc>
      </w:tr>
      <w:tr w:rsidR="00E70375" w:rsidRPr="006120E6" w:rsidTr="00AB5539">
        <w:trPr>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shd w:val="clear" w:color="auto" w:fill="FFFF99"/>
          </w:tcPr>
          <w:p w:rsidR="00E70375" w:rsidRPr="006120E6" w:rsidRDefault="00E70375" w:rsidP="003D23D7">
            <w:pPr>
              <w:rPr>
                <w:b/>
                <w:color w:val="auto"/>
                <w:sz w:val="22"/>
                <w:szCs w:val="22"/>
              </w:rPr>
            </w:pPr>
            <w:r>
              <w:rPr>
                <w:b/>
                <w:color w:val="auto"/>
                <w:sz w:val="22"/>
                <w:szCs w:val="22"/>
              </w:rPr>
              <w:t>2.4e Beta-adrenoceptor blockers</w:t>
            </w:r>
          </w:p>
        </w:tc>
        <w:tc>
          <w:tcPr>
            <w:tcW w:w="8036" w:type="dxa"/>
            <w:gridSpan w:val="11"/>
            <w:tcBorders>
              <w:top w:val="outset" w:sz="6" w:space="0" w:color="auto"/>
              <w:left w:val="outset" w:sz="6" w:space="0" w:color="auto"/>
              <w:bottom w:val="outset" w:sz="6" w:space="0" w:color="auto"/>
              <w:right w:val="outset" w:sz="6" w:space="0" w:color="auto"/>
            </w:tcBorders>
            <w:shd w:val="clear" w:color="auto" w:fill="FFFF99"/>
          </w:tcPr>
          <w:p w:rsidR="00E70375" w:rsidRPr="005B3696" w:rsidRDefault="00221971" w:rsidP="003D23D7">
            <w:pPr>
              <w:rPr>
                <w:b/>
                <w:color w:val="auto"/>
              </w:rPr>
            </w:pPr>
            <w:r>
              <w:rPr>
                <w:color w:val="auto"/>
              </w:rPr>
              <w:t xml:space="preserve">Clinical properties of beta blockers vary widely with indications varying between hypertension, angina, myocardial infarction, heart failure, arrhythmias, thyrotoxicosis and anxiety. Therefore, propranolol may not always be a suitable clinical alternative. Sotalol is not included in this section as it is used solely for </w:t>
            </w:r>
            <w:r>
              <w:rPr>
                <w:rFonts w:ascii="Helvetica" w:hAnsi="Helvetica" w:cs="Helvetica"/>
                <w:color w:val="374248"/>
              </w:rPr>
              <w:t>paroxysmal supraventricular arrhythmias</w:t>
            </w:r>
            <w:proofErr w:type="gramStart"/>
            <w:r>
              <w:rPr>
                <w:rFonts w:ascii="Helvetica" w:hAnsi="Helvetica" w:cs="Helvetica"/>
                <w:color w:val="374248"/>
              </w:rPr>
              <w:t>.</w:t>
            </w:r>
            <w:r>
              <w:rPr>
                <w:rFonts w:ascii="Helvetica" w:hAnsi="Helvetica" w:cs="Helvetica"/>
                <w:b/>
                <w:color w:val="374248"/>
              </w:rPr>
              <w:t>&lt;</w:t>
            </w:r>
            <w:proofErr w:type="gramEnd"/>
            <w:r>
              <w:rPr>
                <w:rFonts w:ascii="Helvetica" w:hAnsi="Helvetica" w:cs="Helvetica"/>
                <w:b/>
                <w:color w:val="374248"/>
              </w:rPr>
              <w:t>br&gt;</w:t>
            </w:r>
            <w:r w:rsidR="00E70375">
              <w:rPr>
                <w:color w:val="auto"/>
              </w:rPr>
              <w:t>In general, beta blockers that are considered to pose less risk to a breastfeeding infant have, or are predicted to have, lower levels in breast milk (due to a high degree plasma protein binding, low lipid solubility and a short half-life) and relatively low renal excretion. The risks of currently available beta blockers vary widely due to these features</w:t>
            </w:r>
            <w:proofErr w:type="gramStart"/>
            <w:r w:rsidR="00E70375" w:rsidRPr="008B0661">
              <w:rPr>
                <w:b/>
                <w:color w:val="auto"/>
              </w:rPr>
              <w:t>.&lt;</w:t>
            </w:r>
            <w:proofErr w:type="gramEnd"/>
            <w:r w:rsidR="00E70375" w:rsidRPr="008B0661">
              <w:rPr>
                <w:b/>
                <w:color w:val="auto"/>
              </w:rPr>
              <w:t>br&gt;</w:t>
            </w:r>
            <w:r w:rsidR="00E70375">
              <w:rPr>
                <w:color w:val="auto"/>
              </w:rPr>
              <w:t xml:space="preserve">Propranolol is considered to be the beta blocker of choice in breastfeeding. Metoprolol is also considered to pose a low risk. </w:t>
            </w:r>
            <w:r w:rsidR="00E70375" w:rsidRPr="008B0661">
              <w:rPr>
                <w:b/>
                <w:color w:val="auto"/>
              </w:rPr>
              <w:t>&lt;</w:t>
            </w:r>
            <w:proofErr w:type="gramStart"/>
            <w:r w:rsidR="00E70375" w:rsidRPr="008B0661">
              <w:rPr>
                <w:b/>
                <w:color w:val="auto"/>
              </w:rPr>
              <w:t>br&gt;</w:t>
            </w:r>
            <w:proofErr w:type="spellStart"/>
            <w:proofErr w:type="gramEnd"/>
            <w:r w:rsidR="00E70375">
              <w:rPr>
                <w:color w:val="auto"/>
              </w:rPr>
              <w:t>Acebutolol</w:t>
            </w:r>
            <w:proofErr w:type="spellEnd"/>
            <w:r w:rsidR="00E70375">
              <w:rPr>
                <w:color w:val="auto"/>
              </w:rPr>
              <w:t>, atenolol</w:t>
            </w:r>
            <w:r w:rsidR="00D32CB4">
              <w:rPr>
                <w:color w:val="auto"/>
              </w:rPr>
              <w:t xml:space="preserve"> and</w:t>
            </w:r>
            <w:r w:rsidR="00E70375">
              <w:rPr>
                <w:color w:val="auto"/>
              </w:rPr>
              <w:t xml:space="preserve"> </w:t>
            </w:r>
            <w:proofErr w:type="spellStart"/>
            <w:r w:rsidR="00E70375">
              <w:rPr>
                <w:color w:val="auto"/>
              </w:rPr>
              <w:t>nadolol</w:t>
            </w:r>
            <w:proofErr w:type="spellEnd"/>
            <w:r w:rsidR="00E70375">
              <w:rPr>
                <w:color w:val="auto"/>
              </w:rPr>
              <w:t xml:space="preserve"> are favoured least because of relatively high milk levels and possible side effects in breastfed infants</w:t>
            </w:r>
            <w:r w:rsidR="00E70375" w:rsidRPr="008B0661">
              <w:rPr>
                <w:b/>
                <w:color w:val="auto"/>
              </w:rPr>
              <w:t>.</w:t>
            </w:r>
            <w:r w:rsidR="0062121A">
              <w:rPr>
                <w:b/>
                <w:color w:val="auto"/>
              </w:rPr>
              <w:t xml:space="preserve"> </w:t>
            </w:r>
            <w:r w:rsidR="00E70375" w:rsidRPr="008B0661">
              <w:rPr>
                <w:b/>
                <w:color w:val="auto"/>
              </w:rPr>
              <w:t>&lt;</w:t>
            </w:r>
            <w:proofErr w:type="gramStart"/>
            <w:r w:rsidR="00E70375" w:rsidRPr="008B0661">
              <w:rPr>
                <w:b/>
                <w:color w:val="auto"/>
              </w:rPr>
              <w:t>br&gt;</w:t>
            </w:r>
            <w:proofErr w:type="gramEnd"/>
            <w:r w:rsidR="00E70375">
              <w:rPr>
                <w:color w:val="auto"/>
              </w:rPr>
              <w:t>Monitor breastfed infants for signs of beta blockade, especially bradycardia</w:t>
            </w:r>
            <w:r w:rsidR="00E70375" w:rsidRPr="008B0661">
              <w:rPr>
                <w:b/>
                <w:color w:val="auto"/>
              </w:rPr>
              <w:t>.</w:t>
            </w:r>
          </w:p>
        </w:tc>
      </w:tr>
      <w:tr w:rsidR="00E70375" w:rsidRPr="004319FC" w:rsidTr="00AE010D">
        <w:trPr>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tcPr>
          <w:p w:rsidR="00E70375" w:rsidRPr="00CA0C8D" w:rsidRDefault="00E70375" w:rsidP="003D23D7">
            <w:pPr>
              <w:rPr>
                <w:b/>
                <w:color w:val="auto"/>
              </w:rPr>
            </w:pPr>
            <w:r>
              <w:rPr>
                <w:b/>
                <w:color w:val="auto"/>
              </w:rPr>
              <w:t>Acebutolol</w:t>
            </w:r>
          </w:p>
        </w:tc>
        <w:tc>
          <w:tcPr>
            <w:tcW w:w="1439" w:type="dxa"/>
            <w:gridSpan w:val="3"/>
            <w:tcBorders>
              <w:top w:val="outset" w:sz="6" w:space="0" w:color="auto"/>
              <w:left w:val="outset" w:sz="6" w:space="0" w:color="auto"/>
              <w:bottom w:val="outset" w:sz="6" w:space="0" w:color="auto"/>
              <w:right w:val="outset" w:sz="6" w:space="0" w:color="auto"/>
            </w:tcBorders>
          </w:tcPr>
          <w:p w:rsidR="00E70375" w:rsidRPr="0062121A" w:rsidRDefault="00E70375" w:rsidP="003D23D7">
            <w:pPr>
              <w:jc w:val="center"/>
              <w:rPr>
                <w:sz w:val="18"/>
                <w:szCs w:val="18"/>
              </w:rPr>
            </w:pPr>
            <w:r w:rsidRPr="0062121A">
              <w:rPr>
                <w:b/>
                <w:color w:val="auto"/>
                <w:sz w:val="18"/>
                <w:szCs w:val="18"/>
              </w:rPr>
              <w:t>Caution</w:t>
            </w:r>
          </w:p>
        </w:tc>
        <w:tc>
          <w:tcPr>
            <w:tcW w:w="3529" w:type="dxa"/>
            <w:gridSpan w:val="4"/>
            <w:tcBorders>
              <w:top w:val="outset" w:sz="6" w:space="0" w:color="auto"/>
              <w:left w:val="outset" w:sz="6" w:space="0" w:color="auto"/>
              <w:bottom w:val="outset" w:sz="6" w:space="0" w:color="auto"/>
              <w:right w:val="outset" w:sz="6" w:space="0" w:color="auto"/>
            </w:tcBorders>
          </w:tcPr>
          <w:p w:rsidR="00E70375" w:rsidRPr="0062121A" w:rsidRDefault="00E70375" w:rsidP="003D23D7">
            <w:pPr>
              <w:spacing w:before="60" w:after="60"/>
              <w:rPr>
                <w:sz w:val="18"/>
                <w:szCs w:val="18"/>
                <w:highlight w:val="yellow"/>
              </w:rPr>
            </w:pPr>
            <w:r w:rsidRPr="0062121A">
              <w:rPr>
                <w:sz w:val="18"/>
                <w:szCs w:val="18"/>
                <w:highlight w:val="yellow"/>
              </w:rPr>
              <w:t>Significant amounts of acebutolol and its active metabolite in breast milk</w:t>
            </w:r>
          </w:p>
          <w:p w:rsidR="00E70375" w:rsidRPr="0062121A" w:rsidRDefault="00E70375" w:rsidP="003D23D7">
            <w:pPr>
              <w:spacing w:before="60" w:after="60"/>
              <w:rPr>
                <w:sz w:val="18"/>
                <w:szCs w:val="18"/>
              </w:rPr>
            </w:pPr>
            <w:r w:rsidRPr="0062121A">
              <w:rPr>
                <w:sz w:val="18"/>
                <w:szCs w:val="18"/>
                <w:highlight w:val="yellow"/>
              </w:rPr>
              <w:t xml:space="preserve">Case report of hypotension, bradycardia, and transient </w:t>
            </w:r>
            <w:proofErr w:type="spellStart"/>
            <w:r w:rsidRPr="0062121A">
              <w:rPr>
                <w:sz w:val="18"/>
                <w:szCs w:val="18"/>
                <w:highlight w:val="yellow"/>
              </w:rPr>
              <w:t>tachypnea</w:t>
            </w:r>
            <w:proofErr w:type="spellEnd"/>
            <w:r w:rsidRPr="0062121A">
              <w:rPr>
                <w:sz w:val="18"/>
                <w:szCs w:val="18"/>
                <w:highlight w:val="yellow"/>
              </w:rPr>
              <w:t xml:space="preserve"> in a </w:t>
            </w:r>
            <w:proofErr w:type="spellStart"/>
            <w:r w:rsidRPr="0062121A">
              <w:rPr>
                <w:sz w:val="18"/>
                <w:szCs w:val="18"/>
                <w:highlight w:val="yellow"/>
              </w:rPr>
              <w:t>newborn</w:t>
            </w:r>
            <w:proofErr w:type="spellEnd"/>
            <w:r w:rsidRPr="0062121A">
              <w:rPr>
                <w:sz w:val="18"/>
                <w:szCs w:val="18"/>
                <w:highlight w:val="yellow"/>
              </w:rPr>
              <w:t xml:space="preserve"> breastfed infant</w:t>
            </w:r>
          </w:p>
          <w:p w:rsidR="0068729E" w:rsidRPr="0062121A" w:rsidRDefault="0068729E" w:rsidP="003D23D7">
            <w:pPr>
              <w:spacing w:before="60" w:after="60"/>
              <w:rPr>
                <w:sz w:val="18"/>
                <w:szCs w:val="18"/>
              </w:rPr>
            </w:pPr>
            <w:r w:rsidRPr="0062121A">
              <w:rPr>
                <w:color w:val="auto"/>
                <w:sz w:val="18"/>
                <w:szCs w:val="18"/>
                <w:highlight w:val="yellow"/>
              </w:rPr>
              <w:t>Monitor breastfed infants for signs of beta blockade, especially bradycardia</w:t>
            </w:r>
          </w:p>
        </w:tc>
        <w:tc>
          <w:tcPr>
            <w:tcW w:w="1559" w:type="dxa"/>
            <w:gridSpan w:val="2"/>
            <w:tcBorders>
              <w:top w:val="outset" w:sz="6" w:space="0" w:color="auto"/>
              <w:left w:val="outset" w:sz="6" w:space="0" w:color="auto"/>
              <w:bottom w:val="outset" w:sz="6" w:space="0" w:color="auto"/>
              <w:right w:val="outset" w:sz="6" w:space="0" w:color="auto"/>
            </w:tcBorders>
          </w:tcPr>
          <w:p w:rsidR="00E70375" w:rsidRPr="0062121A" w:rsidRDefault="00E70375" w:rsidP="003D23D7">
            <w:pPr>
              <w:rPr>
                <w:color w:val="auto"/>
                <w:sz w:val="18"/>
                <w:szCs w:val="18"/>
              </w:rPr>
            </w:pPr>
            <w:r w:rsidRPr="0062121A">
              <w:rPr>
                <w:color w:val="auto"/>
                <w:sz w:val="18"/>
                <w:szCs w:val="18"/>
              </w:rPr>
              <w:t>Propranolol</w:t>
            </w:r>
          </w:p>
        </w:tc>
        <w:tc>
          <w:tcPr>
            <w:tcW w:w="1509" w:type="dxa"/>
            <w:gridSpan w:val="2"/>
            <w:tcBorders>
              <w:top w:val="outset" w:sz="6" w:space="0" w:color="auto"/>
              <w:left w:val="outset" w:sz="6" w:space="0" w:color="auto"/>
              <w:bottom w:val="outset" w:sz="6" w:space="0" w:color="auto"/>
              <w:right w:val="outset" w:sz="6" w:space="0" w:color="auto"/>
            </w:tcBorders>
          </w:tcPr>
          <w:p w:rsidR="00E70375" w:rsidRPr="0062121A" w:rsidRDefault="00221971" w:rsidP="00221971">
            <w:pPr>
              <w:rPr>
                <w:color w:val="auto"/>
                <w:sz w:val="18"/>
                <w:szCs w:val="18"/>
              </w:rPr>
            </w:pPr>
            <w:r w:rsidRPr="0062121A">
              <w:rPr>
                <w:color w:val="auto"/>
                <w:sz w:val="18"/>
                <w:szCs w:val="18"/>
              </w:rPr>
              <w:t xml:space="preserve">Bibliography </w:t>
            </w:r>
          </w:p>
        </w:tc>
      </w:tr>
      <w:tr w:rsidR="00E70375" w:rsidRPr="004319FC" w:rsidTr="00AE010D">
        <w:trPr>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tcPr>
          <w:p w:rsidR="00E70375" w:rsidRPr="00CA0C8D" w:rsidRDefault="00E70375" w:rsidP="003D23D7">
            <w:pPr>
              <w:rPr>
                <w:b/>
                <w:color w:val="auto"/>
              </w:rPr>
            </w:pPr>
            <w:r>
              <w:rPr>
                <w:b/>
                <w:color w:val="auto"/>
              </w:rPr>
              <w:t>Atenolol</w:t>
            </w:r>
          </w:p>
        </w:tc>
        <w:tc>
          <w:tcPr>
            <w:tcW w:w="1439" w:type="dxa"/>
            <w:gridSpan w:val="3"/>
            <w:tcBorders>
              <w:top w:val="outset" w:sz="6" w:space="0" w:color="auto"/>
              <w:left w:val="outset" w:sz="6" w:space="0" w:color="auto"/>
              <w:bottom w:val="outset" w:sz="6" w:space="0" w:color="auto"/>
              <w:right w:val="outset" w:sz="6" w:space="0" w:color="auto"/>
            </w:tcBorders>
          </w:tcPr>
          <w:p w:rsidR="00E70375" w:rsidRPr="0062121A" w:rsidRDefault="00E70375" w:rsidP="003D23D7">
            <w:pPr>
              <w:jc w:val="center"/>
              <w:rPr>
                <w:sz w:val="18"/>
                <w:szCs w:val="18"/>
              </w:rPr>
            </w:pPr>
            <w:r w:rsidRPr="0062121A">
              <w:rPr>
                <w:b/>
                <w:color w:val="auto"/>
                <w:sz w:val="18"/>
                <w:szCs w:val="18"/>
              </w:rPr>
              <w:t>Caution</w:t>
            </w:r>
          </w:p>
        </w:tc>
        <w:tc>
          <w:tcPr>
            <w:tcW w:w="3529" w:type="dxa"/>
            <w:gridSpan w:val="4"/>
            <w:tcBorders>
              <w:top w:val="outset" w:sz="6" w:space="0" w:color="auto"/>
              <w:left w:val="outset" w:sz="6" w:space="0" w:color="auto"/>
              <w:bottom w:val="outset" w:sz="6" w:space="0" w:color="auto"/>
              <w:right w:val="outset" w:sz="6" w:space="0" w:color="auto"/>
            </w:tcBorders>
          </w:tcPr>
          <w:p w:rsidR="00E70375" w:rsidRPr="0062121A" w:rsidRDefault="00E70375" w:rsidP="003D23D7">
            <w:pPr>
              <w:spacing w:before="60" w:after="60"/>
              <w:rPr>
                <w:sz w:val="18"/>
                <w:szCs w:val="18"/>
                <w:highlight w:val="yellow"/>
              </w:rPr>
            </w:pPr>
            <w:r w:rsidRPr="0062121A">
              <w:rPr>
                <w:sz w:val="18"/>
                <w:szCs w:val="18"/>
              </w:rPr>
              <w:t>Significant published evidence of use in breastfeeding</w:t>
            </w:r>
          </w:p>
          <w:p w:rsidR="00E70375" w:rsidRPr="0062121A" w:rsidRDefault="00E70375" w:rsidP="003D23D7">
            <w:pPr>
              <w:spacing w:before="60" w:after="60"/>
              <w:rPr>
                <w:sz w:val="18"/>
                <w:szCs w:val="18"/>
              </w:rPr>
            </w:pPr>
            <w:r w:rsidRPr="0062121A">
              <w:rPr>
                <w:sz w:val="18"/>
                <w:szCs w:val="18"/>
              </w:rPr>
              <w:t>Significant amounts in breast milk</w:t>
            </w:r>
          </w:p>
          <w:p w:rsidR="00E70375" w:rsidRPr="0062121A" w:rsidRDefault="00E70375" w:rsidP="003D23D7">
            <w:pPr>
              <w:spacing w:before="60" w:after="60"/>
              <w:rPr>
                <w:sz w:val="18"/>
                <w:szCs w:val="18"/>
              </w:rPr>
            </w:pPr>
            <w:r w:rsidRPr="0062121A">
              <w:rPr>
                <w:sz w:val="18"/>
                <w:szCs w:val="18"/>
                <w:highlight w:val="yellow"/>
              </w:rPr>
              <w:t xml:space="preserve">Case report of cyanosis, bradycardia and hypothermia in a </w:t>
            </w:r>
            <w:proofErr w:type="spellStart"/>
            <w:r w:rsidRPr="0062121A">
              <w:rPr>
                <w:sz w:val="18"/>
                <w:szCs w:val="18"/>
                <w:highlight w:val="yellow"/>
              </w:rPr>
              <w:t>newborn</w:t>
            </w:r>
            <w:proofErr w:type="spellEnd"/>
            <w:r w:rsidRPr="0062121A">
              <w:rPr>
                <w:sz w:val="18"/>
                <w:szCs w:val="18"/>
                <w:highlight w:val="yellow"/>
              </w:rPr>
              <w:t xml:space="preserve"> breastfed infant</w:t>
            </w:r>
          </w:p>
          <w:p w:rsidR="0068729E" w:rsidRPr="0062121A" w:rsidRDefault="0068729E" w:rsidP="003D23D7">
            <w:pPr>
              <w:spacing w:before="60" w:after="60"/>
              <w:rPr>
                <w:sz w:val="18"/>
                <w:szCs w:val="18"/>
              </w:rPr>
            </w:pPr>
            <w:r w:rsidRPr="0062121A">
              <w:rPr>
                <w:color w:val="auto"/>
                <w:sz w:val="18"/>
                <w:szCs w:val="18"/>
                <w:highlight w:val="yellow"/>
              </w:rPr>
              <w:t>Monitor breastfed infants for signs of beta blockade, especially bradycardia</w:t>
            </w:r>
          </w:p>
        </w:tc>
        <w:tc>
          <w:tcPr>
            <w:tcW w:w="1559" w:type="dxa"/>
            <w:gridSpan w:val="2"/>
            <w:tcBorders>
              <w:top w:val="outset" w:sz="6" w:space="0" w:color="auto"/>
              <w:left w:val="outset" w:sz="6" w:space="0" w:color="auto"/>
              <w:bottom w:val="outset" w:sz="6" w:space="0" w:color="auto"/>
              <w:right w:val="outset" w:sz="6" w:space="0" w:color="auto"/>
            </w:tcBorders>
          </w:tcPr>
          <w:p w:rsidR="00E70375" w:rsidRPr="0062121A" w:rsidRDefault="00E70375" w:rsidP="003D23D7">
            <w:pPr>
              <w:rPr>
                <w:color w:val="auto"/>
                <w:sz w:val="18"/>
                <w:szCs w:val="18"/>
              </w:rPr>
            </w:pPr>
            <w:r w:rsidRPr="0062121A">
              <w:rPr>
                <w:color w:val="auto"/>
                <w:sz w:val="18"/>
                <w:szCs w:val="18"/>
              </w:rPr>
              <w:t>Propranolol</w:t>
            </w:r>
          </w:p>
        </w:tc>
        <w:tc>
          <w:tcPr>
            <w:tcW w:w="1509" w:type="dxa"/>
            <w:gridSpan w:val="2"/>
            <w:tcBorders>
              <w:top w:val="outset" w:sz="6" w:space="0" w:color="auto"/>
              <w:left w:val="outset" w:sz="6" w:space="0" w:color="auto"/>
              <w:bottom w:val="outset" w:sz="6" w:space="0" w:color="auto"/>
              <w:right w:val="outset" w:sz="6" w:space="0" w:color="auto"/>
            </w:tcBorders>
          </w:tcPr>
          <w:p w:rsidR="00E70375" w:rsidRPr="0062121A" w:rsidRDefault="00221971" w:rsidP="003D23D7">
            <w:pPr>
              <w:rPr>
                <w:color w:val="auto"/>
                <w:sz w:val="18"/>
                <w:szCs w:val="18"/>
              </w:rPr>
            </w:pPr>
            <w:r w:rsidRPr="0062121A">
              <w:rPr>
                <w:color w:val="auto"/>
                <w:sz w:val="18"/>
                <w:szCs w:val="18"/>
              </w:rPr>
              <w:t xml:space="preserve">Bibliography </w:t>
            </w:r>
          </w:p>
        </w:tc>
      </w:tr>
      <w:tr w:rsidR="00E70375" w:rsidRPr="004319FC" w:rsidTr="00AE010D">
        <w:trPr>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tcPr>
          <w:p w:rsidR="00E70375" w:rsidRDefault="00E70375" w:rsidP="003D23D7">
            <w:pPr>
              <w:rPr>
                <w:b/>
                <w:color w:val="auto"/>
              </w:rPr>
            </w:pPr>
            <w:r>
              <w:rPr>
                <w:b/>
                <w:color w:val="auto"/>
              </w:rPr>
              <w:t>Bisoprolol</w:t>
            </w:r>
          </w:p>
        </w:tc>
        <w:tc>
          <w:tcPr>
            <w:tcW w:w="1439" w:type="dxa"/>
            <w:gridSpan w:val="3"/>
            <w:tcBorders>
              <w:top w:val="outset" w:sz="6" w:space="0" w:color="auto"/>
              <w:left w:val="outset" w:sz="6" w:space="0" w:color="auto"/>
              <w:bottom w:val="outset" w:sz="6" w:space="0" w:color="auto"/>
              <w:right w:val="outset" w:sz="6" w:space="0" w:color="auto"/>
            </w:tcBorders>
          </w:tcPr>
          <w:p w:rsidR="00E70375" w:rsidRPr="0062121A" w:rsidRDefault="00E70375" w:rsidP="003D23D7">
            <w:pPr>
              <w:jc w:val="center"/>
              <w:rPr>
                <w:sz w:val="18"/>
                <w:szCs w:val="18"/>
              </w:rPr>
            </w:pPr>
            <w:r w:rsidRPr="0062121A">
              <w:rPr>
                <w:b/>
                <w:color w:val="auto"/>
                <w:sz w:val="18"/>
                <w:szCs w:val="18"/>
              </w:rPr>
              <w:t>Caution</w:t>
            </w:r>
          </w:p>
        </w:tc>
        <w:tc>
          <w:tcPr>
            <w:tcW w:w="3529" w:type="dxa"/>
            <w:gridSpan w:val="4"/>
            <w:tcBorders>
              <w:top w:val="outset" w:sz="6" w:space="0" w:color="auto"/>
              <w:left w:val="outset" w:sz="6" w:space="0" w:color="auto"/>
              <w:bottom w:val="outset" w:sz="6" w:space="0" w:color="auto"/>
              <w:right w:val="outset" w:sz="6" w:space="0" w:color="auto"/>
            </w:tcBorders>
          </w:tcPr>
          <w:p w:rsidR="00E70375" w:rsidRPr="0062121A" w:rsidRDefault="00E70375" w:rsidP="003D23D7">
            <w:pPr>
              <w:spacing w:before="60" w:after="60"/>
              <w:rPr>
                <w:sz w:val="18"/>
                <w:szCs w:val="18"/>
              </w:rPr>
            </w:pPr>
            <w:r w:rsidRPr="0062121A">
              <w:rPr>
                <w:sz w:val="18"/>
                <w:szCs w:val="18"/>
              </w:rPr>
              <w:t>Very limited published evidence of safety</w:t>
            </w:r>
          </w:p>
          <w:p w:rsidR="0068729E" w:rsidRPr="0062121A" w:rsidRDefault="0068729E" w:rsidP="003D23D7">
            <w:pPr>
              <w:spacing w:before="60" w:after="60"/>
              <w:rPr>
                <w:sz w:val="18"/>
                <w:szCs w:val="18"/>
              </w:rPr>
            </w:pPr>
            <w:r w:rsidRPr="0062121A">
              <w:rPr>
                <w:color w:val="auto"/>
                <w:sz w:val="18"/>
                <w:szCs w:val="18"/>
                <w:highlight w:val="yellow"/>
              </w:rPr>
              <w:t>Monitor breastfed infants for signs of beta blockade, especially bradycardia</w:t>
            </w:r>
          </w:p>
        </w:tc>
        <w:tc>
          <w:tcPr>
            <w:tcW w:w="1559" w:type="dxa"/>
            <w:gridSpan w:val="2"/>
            <w:tcBorders>
              <w:top w:val="outset" w:sz="6" w:space="0" w:color="auto"/>
              <w:left w:val="outset" w:sz="6" w:space="0" w:color="auto"/>
              <w:bottom w:val="outset" w:sz="6" w:space="0" w:color="auto"/>
              <w:right w:val="outset" w:sz="6" w:space="0" w:color="auto"/>
            </w:tcBorders>
          </w:tcPr>
          <w:p w:rsidR="00E70375" w:rsidRPr="0062121A" w:rsidRDefault="00E70375" w:rsidP="003D23D7">
            <w:pPr>
              <w:rPr>
                <w:color w:val="auto"/>
                <w:sz w:val="18"/>
                <w:szCs w:val="18"/>
              </w:rPr>
            </w:pPr>
            <w:r w:rsidRPr="0062121A">
              <w:rPr>
                <w:color w:val="auto"/>
                <w:sz w:val="18"/>
                <w:szCs w:val="18"/>
              </w:rPr>
              <w:t>Propranolol</w:t>
            </w:r>
          </w:p>
        </w:tc>
        <w:tc>
          <w:tcPr>
            <w:tcW w:w="1509" w:type="dxa"/>
            <w:gridSpan w:val="2"/>
            <w:tcBorders>
              <w:top w:val="outset" w:sz="6" w:space="0" w:color="auto"/>
              <w:left w:val="outset" w:sz="6" w:space="0" w:color="auto"/>
              <w:bottom w:val="outset" w:sz="6" w:space="0" w:color="auto"/>
              <w:right w:val="outset" w:sz="6" w:space="0" w:color="auto"/>
            </w:tcBorders>
          </w:tcPr>
          <w:p w:rsidR="00E70375" w:rsidRPr="0062121A" w:rsidRDefault="00221971" w:rsidP="003D23D7">
            <w:pPr>
              <w:rPr>
                <w:color w:val="auto"/>
                <w:sz w:val="18"/>
                <w:szCs w:val="18"/>
              </w:rPr>
            </w:pPr>
            <w:r w:rsidRPr="0062121A">
              <w:rPr>
                <w:color w:val="auto"/>
                <w:sz w:val="18"/>
                <w:szCs w:val="18"/>
              </w:rPr>
              <w:t xml:space="preserve">Bibliography </w:t>
            </w:r>
          </w:p>
        </w:tc>
      </w:tr>
      <w:tr w:rsidR="00E70375" w:rsidRPr="004319FC" w:rsidTr="00AE010D">
        <w:trPr>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tcPr>
          <w:p w:rsidR="00E70375" w:rsidRDefault="00E70375" w:rsidP="003D23D7">
            <w:pPr>
              <w:rPr>
                <w:b/>
                <w:color w:val="auto"/>
              </w:rPr>
            </w:pPr>
            <w:r>
              <w:rPr>
                <w:b/>
                <w:color w:val="auto"/>
              </w:rPr>
              <w:t>Carvedilol</w:t>
            </w:r>
          </w:p>
        </w:tc>
        <w:tc>
          <w:tcPr>
            <w:tcW w:w="1439" w:type="dxa"/>
            <w:gridSpan w:val="3"/>
            <w:tcBorders>
              <w:top w:val="outset" w:sz="6" w:space="0" w:color="auto"/>
              <w:left w:val="outset" w:sz="6" w:space="0" w:color="auto"/>
              <w:bottom w:val="outset" w:sz="6" w:space="0" w:color="auto"/>
              <w:right w:val="outset" w:sz="6" w:space="0" w:color="auto"/>
            </w:tcBorders>
          </w:tcPr>
          <w:p w:rsidR="00E70375" w:rsidRPr="0062121A" w:rsidRDefault="00E70375" w:rsidP="003D23D7">
            <w:pPr>
              <w:jc w:val="center"/>
              <w:rPr>
                <w:sz w:val="18"/>
                <w:szCs w:val="18"/>
              </w:rPr>
            </w:pPr>
            <w:r w:rsidRPr="0062121A">
              <w:rPr>
                <w:b/>
                <w:color w:val="auto"/>
                <w:sz w:val="18"/>
                <w:szCs w:val="18"/>
              </w:rPr>
              <w:t>Caution</w:t>
            </w:r>
          </w:p>
        </w:tc>
        <w:tc>
          <w:tcPr>
            <w:tcW w:w="3529" w:type="dxa"/>
            <w:gridSpan w:val="4"/>
            <w:tcBorders>
              <w:top w:val="outset" w:sz="6" w:space="0" w:color="auto"/>
              <w:left w:val="outset" w:sz="6" w:space="0" w:color="auto"/>
              <w:bottom w:val="outset" w:sz="6" w:space="0" w:color="auto"/>
              <w:right w:val="outset" w:sz="6" w:space="0" w:color="auto"/>
            </w:tcBorders>
          </w:tcPr>
          <w:p w:rsidR="00E70375" w:rsidRPr="0062121A" w:rsidRDefault="00E70375" w:rsidP="003D23D7">
            <w:pPr>
              <w:spacing w:before="60" w:after="60"/>
              <w:rPr>
                <w:sz w:val="18"/>
                <w:szCs w:val="18"/>
              </w:rPr>
            </w:pPr>
            <w:r w:rsidRPr="0062121A">
              <w:rPr>
                <w:sz w:val="18"/>
                <w:szCs w:val="18"/>
              </w:rPr>
              <w:t>No published evidence of safety</w:t>
            </w:r>
          </w:p>
          <w:p w:rsidR="0068729E" w:rsidRPr="0062121A" w:rsidRDefault="0068729E" w:rsidP="003D23D7">
            <w:pPr>
              <w:spacing w:before="60" w:after="60"/>
              <w:rPr>
                <w:sz w:val="18"/>
                <w:szCs w:val="18"/>
              </w:rPr>
            </w:pPr>
            <w:r w:rsidRPr="0062121A">
              <w:rPr>
                <w:color w:val="auto"/>
                <w:sz w:val="18"/>
                <w:szCs w:val="18"/>
                <w:highlight w:val="yellow"/>
              </w:rPr>
              <w:t>Monitor breastfed infants for signs of beta blockade, especially bradycardia</w:t>
            </w:r>
          </w:p>
        </w:tc>
        <w:tc>
          <w:tcPr>
            <w:tcW w:w="1559" w:type="dxa"/>
            <w:gridSpan w:val="2"/>
            <w:tcBorders>
              <w:top w:val="outset" w:sz="6" w:space="0" w:color="auto"/>
              <w:left w:val="outset" w:sz="6" w:space="0" w:color="auto"/>
              <w:bottom w:val="outset" w:sz="6" w:space="0" w:color="auto"/>
              <w:right w:val="outset" w:sz="6" w:space="0" w:color="auto"/>
            </w:tcBorders>
          </w:tcPr>
          <w:p w:rsidR="00E70375" w:rsidRPr="0062121A" w:rsidRDefault="00E70375" w:rsidP="003D23D7">
            <w:pPr>
              <w:rPr>
                <w:color w:val="auto"/>
                <w:sz w:val="18"/>
                <w:szCs w:val="18"/>
              </w:rPr>
            </w:pPr>
            <w:r w:rsidRPr="0062121A">
              <w:rPr>
                <w:color w:val="auto"/>
                <w:sz w:val="18"/>
                <w:szCs w:val="18"/>
              </w:rPr>
              <w:t>Propranolol</w:t>
            </w:r>
          </w:p>
        </w:tc>
        <w:tc>
          <w:tcPr>
            <w:tcW w:w="1509" w:type="dxa"/>
            <w:gridSpan w:val="2"/>
            <w:tcBorders>
              <w:top w:val="outset" w:sz="6" w:space="0" w:color="auto"/>
              <w:left w:val="outset" w:sz="6" w:space="0" w:color="auto"/>
              <w:bottom w:val="outset" w:sz="6" w:space="0" w:color="auto"/>
              <w:right w:val="outset" w:sz="6" w:space="0" w:color="auto"/>
            </w:tcBorders>
          </w:tcPr>
          <w:p w:rsidR="00E70375" w:rsidRPr="0062121A" w:rsidRDefault="00221971" w:rsidP="003D23D7">
            <w:pPr>
              <w:rPr>
                <w:color w:val="auto"/>
                <w:sz w:val="18"/>
                <w:szCs w:val="18"/>
              </w:rPr>
            </w:pPr>
            <w:r w:rsidRPr="0062121A">
              <w:rPr>
                <w:color w:val="auto"/>
                <w:sz w:val="18"/>
                <w:szCs w:val="18"/>
              </w:rPr>
              <w:t xml:space="preserve">Bibliography </w:t>
            </w:r>
          </w:p>
        </w:tc>
      </w:tr>
      <w:tr w:rsidR="00E70375" w:rsidRPr="004319FC" w:rsidTr="00AE010D">
        <w:trPr>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tcPr>
          <w:p w:rsidR="00E70375" w:rsidRDefault="00E70375" w:rsidP="003D23D7">
            <w:pPr>
              <w:rPr>
                <w:b/>
                <w:color w:val="auto"/>
              </w:rPr>
            </w:pPr>
            <w:proofErr w:type="spellStart"/>
            <w:r>
              <w:rPr>
                <w:b/>
                <w:color w:val="auto"/>
              </w:rPr>
              <w:t>Celiprolol</w:t>
            </w:r>
            <w:proofErr w:type="spellEnd"/>
          </w:p>
        </w:tc>
        <w:tc>
          <w:tcPr>
            <w:tcW w:w="1439" w:type="dxa"/>
            <w:gridSpan w:val="3"/>
            <w:tcBorders>
              <w:top w:val="outset" w:sz="6" w:space="0" w:color="auto"/>
              <w:left w:val="outset" w:sz="6" w:space="0" w:color="auto"/>
              <w:bottom w:val="outset" w:sz="6" w:space="0" w:color="auto"/>
              <w:right w:val="outset" w:sz="6" w:space="0" w:color="auto"/>
            </w:tcBorders>
          </w:tcPr>
          <w:p w:rsidR="00E70375" w:rsidRPr="0062121A" w:rsidRDefault="00E70375" w:rsidP="003D23D7">
            <w:pPr>
              <w:jc w:val="center"/>
              <w:rPr>
                <w:sz w:val="18"/>
                <w:szCs w:val="18"/>
              </w:rPr>
            </w:pPr>
            <w:r w:rsidRPr="0062121A">
              <w:rPr>
                <w:b/>
                <w:color w:val="auto"/>
                <w:sz w:val="18"/>
                <w:szCs w:val="18"/>
              </w:rPr>
              <w:t>Caution</w:t>
            </w:r>
          </w:p>
        </w:tc>
        <w:tc>
          <w:tcPr>
            <w:tcW w:w="3529" w:type="dxa"/>
            <w:gridSpan w:val="4"/>
            <w:tcBorders>
              <w:top w:val="outset" w:sz="6" w:space="0" w:color="auto"/>
              <w:left w:val="outset" w:sz="6" w:space="0" w:color="auto"/>
              <w:bottom w:val="outset" w:sz="6" w:space="0" w:color="auto"/>
              <w:right w:val="outset" w:sz="6" w:space="0" w:color="auto"/>
            </w:tcBorders>
          </w:tcPr>
          <w:p w:rsidR="00E70375" w:rsidRPr="0062121A" w:rsidRDefault="00E70375" w:rsidP="003D23D7">
            <w:pPr>
              <w:spacing w:before="60" w:after="60"/>
              <w:rPr>
                <w:sz w:val="18"/>
                <w:szCs w:val="18"/>
              </w:rPr>
            </w:pPr>
            <w:r w:rsidRPr="0062121A">
              <w:rPr>
                <w:sz w:val="18"/>
                <w:szCs w:val="18"/>
              </w:rPr>
              <w:t>No published evidence of safety</w:t>
            </w:r>
          </w:p>
          <w:p w:rsidR="0068729E" w:rsidRPr="0062121A" w:rsidRDefault="0068729E" w:rsidP="003D23D7">
            <w:pPr>
              <w:spacing w:before="60" w:after="60"/>
              <w:rPr>
                <w:sz w:val="18"/>
                <w:szCs w:val="18"/>
              </w:rPr>
            </w:pPr>
            <w:r w:rsidRPr="0062121A">
              <w:rPr>
                <w:color w:val="auto"/>
                <w:sz w:val="18"/>
                <w:szCs w:val="18"/>
                <w:highlight w:val="yellow"/>
              </w:rPr>
              <w:t>Monitor breastfed infants for signs of beta blockade, especially bradycardia</w:t>
            </w:r>
          </w:p>
        </w:tc>
        <w:tc>
          <w:tcPr>
            <w:tcW w:w="1559" w:type="dxa"/>
            <w:gridSpan w:val="2"/>
            <w:tcBorders>
              <w:top w:val="outset" w:sz="6" w:space="0" w:color="auto"/>
              <w:left w:val="outset" w:sz="6" w:space="0" w:color="auto"/>
              <w:bottom w:val="outset" w:sz="6" w:space="0" w:color="auto"/>
              <w:right w:val="outset" w:sz="6" w:space="0" w:color="auto"/>
            </w:tcBorders>
          </w:tcPr>
          <w:p w:rsidR="00E70375" w:rsidRPr="0062121A" w:rsidRDefault="00E70375" w:rsidP="003D23D7">
            <w:pPr>
              <w:rPr>
                <w:color w:val="auto"/>
                <w:sz w:val="18"/>
                <w:szCs w:val="18"/>
              </w:rPr>
            </w:pPr>
            <w:r w:rsidRPr="0062121A">
              <w:rPr>
                <w:color w:val="auto"/>
                <w:sz w:val="18"/>
                <w:szCs w:val="18"/>
              </w:rPr>
              <w:t>Propranolol</w:t>
            </w:r>
          </w:p>
        </w:tc>
        <w:tc>
          <w:tcPr>
            <w:tcW w:w="1509" w:type="dxa"/>
            <w:gridSpan w:val="2"/>
            <w:tcBorders>
              <w:top w:val="outset" w:sz="6" w:space="0" w:color="auto"/>
              <w:left w:val="outset" w:sz="6" w:space="0" w:color="auto"/>
              <w:bottom w:val="outset" w:sz="6" w:space="0" w:color="auto"/>
              <w:right w:val="outset" w:sz="6" w:space="0" w:color="auto"/>
            </w:tcBorders>
          </w:tcPr>
          <w:p w:rsidR="00E70375" w:rsidRPr="0062121A" w:rsidRDefault="00221971" w:rsidP="003D23D7">
            <w:pPr>
              <w:rPr>
                <w:color w:val="auto"/>
                <w:sz w:val="18"/>
                <w:szCs w:val="18"/>
              </w:rPr>
            </w:pPr>
            <w:r w:rsidRPr="0062121A">
              <w:rPr>
                <w:color w:val="auto"/>
                <w:sz w:val="18"/>
                <w:szCs w:val="18"/>
              </w:rPr>
              <w:t xml:space="preserve">Bibliography </w:t>
            </w:r>
          </w:p>
        </w:tc>
      </w:tr>
      <w:tr w:rsidR="00E70375" w:rsidRPr="004319FC" w:rsidTr="00AE010D">
        <w:trPr>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tcPr>
          <w:p w:rsidR="00E70375" w:rsidRDefault="00E70375" w:rsidP="003D23D7">
            <w:pPr>
              <w:rPr>
                <w:b/>
                <w:color w:val="auto"/>
              </w:rPr>
            </w:pPr>
            <w:proofErr w:type="spellStart"/>
            <w:r>
              <w:rPr>
                <w:b/>
                <w:color w:val="auto"/>
              </w:rPr>
              <w:t>Esmolol</w:t>
            </w:r>
            <w:proofErr w:type="spellEnd"/>
          </w:p>
        </w:tc>
        <w:tc>
          <w:tcPr>
            <w:tcW w:w="1439" w:type="dxa"/>
            <w:gridSpan w:val="3"/>
            <w:tcBorders>
              <w:top w:val="outset" w:sz="6" w:space="0" w:color="auto"/>
              <w:left w:val="outset" w:sz="6" w:space="0" w:color="auto"/>
              <w:bottom w:val="outset" w:sz="6" w:space="0" w:color="auto"/>
              <w:right w:val="outset" w:sz="6" w:space="0" w:color="auto"/>
            </w:tcBorders>
          </w:tcPr>
          <w:p w:rsidR="00E70375" w:rsidRPr="0062121A" w:rsidRDefault="00E70375" w:rsidP="003D23D7">
            <w:pPr>
              <w:jc w:val="center"/>
              <w:rPr>
                <w:sz w:val="18"/>
                <w:szCs w:val="18"/>
              </w:rPr>
            </w:pPr>
            <w:r w:rsidRPr="0062121A">
              <w:rPr>
                <w:b/>
                <w:color w:val="008000"/>
                <w:sz w:val="18"/>
                <w:szCs w:val="18"/>
              </w:rPr>
              <w:t>Yes</w:t>
            </w:r>
          </w:p>
        </w:tc>
        <w:tc>
          <w:tcPr>
            <w:tcW w:w="3529" w:type="dxa"/>
            <w:gridSpan w:val="4"/>
            <w:tcBorders>
              <w:top w:val="outset" w:sz="6" w:space="0" w:color="auto"/>
              <w:left w:val="outset" w:sz="6" w:space="0" w:color="auto"/>
              <w:bottom w:val="outset" w:sz="6" w:space="0" w:color="auto"/>
              <w:right w:val="outset" w:sz="6" w:space="0" w:color="auto"/>
            </w:tcBorders>
          </w:tcPr>
          <w:p w:rsidR="00E70375" w:rsidRPr="0062121A" w:rsidRDefault="00E70375" w:rsidP="003D23D7">
            <w:pPr>
              <w:spacing w:before="60" w:after="60"/>
              <w:rPr>
                <w:sz w:val="18"/>
                <w:szCs w:val="18"/>
              </w:rPr>
            </w:pPr>
            <w:r w:rsidRPr="0062121A">
              <w:rPr>
                <w:sz w:val="18"/>
                <w:szCs w:val="18"/>
              </w:rPr>
              <w:t>No published evidence of safety</w:t>
            </w:r>
          </w:p>
          <w:p w:rsidR="00E70375" w:rsidRPr="0062121A" w:rsidRDefault="00E70375" w:rsidP="003D23D7">
            <w:pPr>
              <w:spacing w:before="60" w:after="60"/>
              <w:rPr>
                <w:sz w:val="18"/>
                <w:szCs w:val="18"/>
              </w:rPr>
            </w:pPr>
            <w:r w:rsidRPr="0062121A">
              <w:rPr>
                <w:sz w:val="18"/>
                <w:szCs w:val="18"/>
                <w:highlight w:val="yellow"/>
              </w:rPr>
              <w:t>Breast milk levels would be expected to be negligible and transient due to its very short half-life after IV administration (9 minutes)</w:t>
            </w:r>
          </w:p>
          <w:p w:rsidR="00E70375" w:rsidRPr="0062121A" w:rsidRDefault="00E70375" w:rsidP="003D23D7">
            <w:pPr>
              <w:spacing w:before="60" w:after="60"/>
              <w:rPr>
                <w:sz w:val="18"/>
                <w:szCs w:val="18"/>
              </w:rPr>
            </w:pPr>
            <w:r w:rsidRPr="0062121A">
              <w:rPr>
                <w:sz w:val="18"/>
                <w:szCs w:val="18"/>
              </w:rPr>
              <w:t>Used in full-term neonates from birth</w:t>
            </w:r>
          </w:p>
        </w:tc>
        <w:tc>
          <w:tcPr>
            <w:tcW w:w="1559" w:type="dxa"/>
            <w:gridSpan w:val="2"/>
            <w:tcBorders>
              <w:top w:val="outset" w:sz="6" w:space="0" w:color="auto"/>
              <w:left w:val="outset" w:sz="6" w:space="0" w:color="auto"/>
              <w:bottom w:val="outset" w:sz="6" w:space="0" w:color="auto"/>
              <w:right w:val="outset" w:sz="6" w:space="0" w:color="auto"/>
            </w:tcBorders>
          </w:tcPr>
          <w:p w:rsidR="00E70375" w:rsidRPr="0062121A" w:rsidRDefault="00B50689" w:rsidP="003D23D7">
            <w:pPr>
              <w:rPr>
                <w:color w:val="auto"/>
                <w:sz w:val="18"/>
                <w:szCs w:val="18"/>
              </w:rPr>
            </w:pPr>
            <w:r w:rsidRPr="0062121A">
              <w:rPr>
                <w:color w:val="auto"/>
                <w:sz w:val="18"/>
                <w:szCs w:val="18"/>
              </w:rPr>
              <w:t>-</w:t>
            </w:r>
          </w:p>
        </w:tc>
        <w:tc>
          <w:tcPr>
            <w:tcW w:w="1509" w:type="dxa"/>
            <w:gridSpan w:val="2"/>
            <w:tcBorders>
              <w:top w:val="outset" w:sz="6" w:space="0" w:color="auto"/>
              <w:left w:val="outset" w:sz="6" w:space="0" w:color="auto"/>
              <w:bottom w:val="outset" w:sz="6" w:space="0" w:color="auto"/>
              <w:right w:val="outset" w:sz="6" w:space="0" w:color="auto"/>
            </w:tcBorders>
          </w:tcPr>
          <w:p w:rsidR="00E70375" w:rsidRPr="0062121A" w:rsidRDefault="00221971" w:rsidP="003D23D7">
            <w:pPr>
              <w:rPr>
                <w:color w:val="auto"/>
                <w:sz w:val="18"/>
                <w:szCs w:val="18"/>
              </w:rPr>
            </w:pPr>
            <w:r w:rsidRPr="0062121A">
              <w:rPr>
                <w:color w:val="auto"/>
                <w:sz w:val="18"/>
                <w:szCs w:val="18"/>
              </w:rPr>
              <w:t xml:space="preserve">Bibliography </w:t>
            </w:r>
          </w:p>
        </w:tc>
      </w:tr>
      <w:tr w:rsidR="00E70375" w:rsidRPr="004319FC" w:rsidTr="00AE010D">
        <w:trPr>
          <w:trHeight w:val="40"/>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tcPr>
          <w:p w:rsidR="00E70375" w:rsidRDefault="00E70375" w:rsidP="003D23D7">
            <w:pPr>
              <w:rPr>
                <w:b/>
                <w:color w:val="auto"/>
              </w:rPr>
            </w:pPr>
            <w:r>
              <w:rPr>
                <w:b/>
                <w:color w:val="auto"/>
              </w:rPr>
              <w:t>Labetalol</w:t>
            </w:r>
          </w:p>
        </w:tc>
        <w:tc>
          <w:tcPr>
            <w:tcW w:w="1439" w:type="dxa"/>
            <w:gridSpan w:val="3"/>
            <w:tcBorders>
              <w:top w:val="outset" w:sz="6" w:space="0" w:color="auto"/>
              <w:left w:val="outset" w:sz="6" w:space="0" w:color="auto"/>
              <w:bottom w:val="outset" w:sz="6" w:space="0" w:color="auto"/>
              <w:right w:val="outset" w:sz="6" w:space="0" w:color="auto"/>
            </w:tcBorders>
          </w:tcPr>
          <w:p w:rsidR="00E70375" w:rsidRPr="0062121A" w:rsidRDefault="00E70375" w:rsidP="003D23D7">
            <w:pPr>
              <w:jc w:val="center"/>
              <w:rPr>
                <w:sz w:val="18"/>
                <w:szCs w:val="18"/>
              </w:rPr>
            </w:pPr>
            <w:r w:rsidRPr="0062121A">
              <w:rPr>
                <w:b/>
                <w:color w:val="008000"/>
                <w:sz w:val="18"/>
                <w:szCs w:val="18"/>
              </w:rPr>
              <w:t>Yes</w:t>
            </w:r>
          </w:p>
        </w:tc>
        <w:tc>
          <w:tcPr>
            <w:tcW w:w="3529" w:type="dxa"/>
            <w:gridSpan w:val="4"/>
            <w:tcBorders>
              <w:top w:val="outset" w:sz="6" w:space="0" w:color="auto"/>
              <w:left w:val="outset" w:sz="6" w:space="0" w:color="auto"/>
              <w:bottom w:val="outset" w:sz="6" w:space="0" w:color="auto"/>
              <w:right w:val="outset" w:sz="6" w:space="0" w:color="auto"/>
            </w:tcBorders>
          </w:tcPr>
          <w:p w:rsidR="00E70375" w:rsidRPr="0062121A" w:rsidRDefault="00E70375" w:rsidP="003D23D7">
            <w:pPr>
              <w:spacing w:before="60" w:after="60"/>
              <w:rPr>
                <w:sz w:val="18"/>
                <w:szCs w:val="18"/>
              </w:rPr>
            </w:pPr>
            <w:r w:rsidRPr="0062121A">
              <w:rPr>
                <w:sz w:val="18"/>
                <w:szCs w:val="18"/>
              </w:rPr>
              <w:t>Limited published evidence of safety</w:t>
            </w:r>
          </w:p>
          <w:p w:rsidR="00E70375" w:rsidRPr="0062121A" w:rsidRDefault="00E70375" w:rsidP="003D23D7">
            <w:pPr>
              <w:spacing w:before="60" w:after="60"/>
              <w:rPr>
                <w:sz w:val="18"/>
                <w:szCs w:val="18"/>
              </w:rPr>
            </w:pPr>
            <w:r w:rsidRPr="0062121A">
              <w:rPr>
                <w:sz w:val="18"/>
                <w:szCs w:val="18"/>
              </w:rPr>
              <w:t>Small amounts in breast milk</w:t>
            </w:r>
            <w:r w:rsidR="005E0524" w:rsidRPr="0062121A">
              <w:rPr>
                <w:sz w:val="18"/>
                <w:szCs w:val="18"/>
              </w:rPr>
              <w:t xml:space="preserve">    </w:t>
            </w:r>
          </w:p>
          <w:p w:rsidR="00E70375" w:rsidRPr="0062121A" w:rsidRDefault="00E70375" w:rsidP="003D23D7">
            <w:pPr>
              <w:spacing w:before="60" w:after="60"/>
              <w:rPr>
                <w:b/>
                <w:sz w:val="18"/>
                <w:szCs w:val="18"/>
              </w:rPr>
            </w:pPr>
            <w:r w:rsidRPr="0062121A">
              <w:rPr>
                <w:sz w:val="18"/>
                <w:szCs w:val="18"/>
                <w:highlight w:val="yellow"/>
              </w:rPr>
              <w:t xml:space="preserve">Caution only in pre-term infants - </w:t>
            </w:r>
            <w:r w:rsidRPr="0062121A">
              <w:rPr>
                <w:b/>
                <w:sz w:val="18"/>
                <w:szCs w:val="18"/>
                <w:highlight w:val="yellow"/>
              </w:rPr>
              <w:t>&lt;i&gt;</w:t>
            </w:r>
            <w:r w:rsidRPr="0062121A">
              <w:rPr>
                <w:sz w:val="18"/>
                <w:szCs w:val="18"/>
                <w:highlight w:val="yellow"/>
              </w:rPr>
              <w:t>single case report of sinus bradycardia in a 26-week premature infant fed breast milk via nasogastric tube</w:t>
            </w:r>
            <w:r w:rsidRPr="0062121A">
              <w:rPr>
                <w:b/>
                <w:sz w:val="18"/>
                <w:szCs w:val="18"/>
              </w:rPr>
              <w:t>&lt;/i&gt;</w:t>
            </w:r>
          </w:p>
        </w:tc>
        <w:tc>
          <w:tcPr>
            <w:tcW w:w="1559" w:type="dxa"/>
            <w:gridSpan w:val="2"/>
            <w:tcBorders>
              <w:top w:val="outset" w:sz="6" w:space="0" w:color="auto"/>
              <w:left w:val="outset" w:sz="6" w:space="0" w:color="auto"/>
              <w:bottom w:val="outset" w:sz="6" w:space="0" w:color="auto"/>
              <w:right w:val="outset" w:sz="6" w:space="0" w:color="auto"/>
            </w:tcBorders>
          </w:tcPr>
          <w:p w:rsidR="00E70375" w:rsidRPr="0062121A" w:rsidRDefault="00E70375" w:rsidP="003D23D7">
            <w:pPr>
              <w:rPr>
                <w:color w:val="auto"/>
                <w:sz w:val="18"/>
                <w:szCs w:val="18"/>
              </w:rPr>
            </w:pPr>
            <w:r w:rsidRPr="0062121A">
              <w:rPr>
                <w:color w:val="auto"/>
                <w:sz w:val="18"/>
                <w:szCs w:val="18"/>
              </w:rPr>
              <w:t>Propranolol</w:t>
            </w:r>
          </w:p>
        </w:tc>
        <w:tc>
          <w:tcPr>
            <w:tcW w:w="1509" w:type="dxa"/>
            <w:gridSpan w:val="2"/>
            <w:tcBorders>
              <w:top w:val="outset" w:sz="6" w:space="0" w:color="auto"/>
              <w:left w:val="outset" w:sz="6" w:space="0" w:color="auto"/>
              <w:bottom w:val="outset" w:sz="6" w:space="0" w:color="auto"/>
              <w:right w:val="outset" w:sz="6" w:space="0" w:color="auto"/>
            </w:tcBorders>
          </w:tcPr>
          <w:p w:rsidR="00E70375" w:rsidRPr="0062121A" w:rsidRDefault="00221971" w:rsidP="003D23D7">
            <w:pPr>
              <w:rPr>
                <w:color w:val="auto"/>
                <w:sz w:val="18"/>
                <w:szCs w:val="18"/>
              </w:rPr>
            </w:pPr>
            <w:r w:rsidRPr="0062121A">
              <w:rPr>
                <w:color w:val="auto"/>
                <w:sz w:val="18"/>
                <w:szCs w:val="18"/>
              </w:rPr>
              <w:t xml:space="preserve">Bibliography </w:t>
            </w:r>
          </w:p>
        </w:tc>
      </w:tr>
      <w:tr w:rsidR="00E70375" w:rsidRPr="004319FC" w:rsidTr="00AE010D">
        <w:trPr>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tcPr>
          <w:p w:rsidR="00E70375" w:rsidRDefault="00E70375" w:rsidP="003D23D7">
            <w:pPr>
              <w:rPr>
                <w:b/>
                <w:color w:val="auto"/>
              </w:rPr>
            </w:pPr>
            <w:r>
              <w:rPr>
                <w:b/>
                <w:color w:val="auto"/>
              </w:rPr>
              <w:t>Metoprolol</w:t>
            </w:r>
          </w:p>
        </w:tc>
        <w:tc>
          <w:tcPr>
            <w:tcW w:w="1439" w:type="dxa"/>
            <w:gridSpan w:val="3"/>
            <w:tcBorders>
              <w:top w:val="outset" w:sz="6" w:space="0" w:color="auto"/>
              <w:left w:val="outset" w:sz="6" w:space="0" w:color="auto"/>
              <w:bottom w:val="outset" w:sz="6" w:space="0" w:color="auto"/>
              <w:right w:val="outset" w:sz="6" w:space="0" w:color="auto"/>
            </w:tcBorders>
          </w:tcPr>
          <w:p w:rsidR="00E70375" w:rsidRPr="0062121A" w:rsidRDefault="00E70375" w:rsidP="003D23D7">
            <w:pPr>
              <w:jc w:val="center"/>
              <w:rPr>
                <w:sz w:val="18"/>
                <w:szCs w:val="18"/>
              </w:rPr>
            </w:pPr>
            <w:r w:rsidRPr="0062121A">
              <w:rPr>
                <w:b/>
                <w:color w:val="008000"/>
                <w:sz w:val="18"/>
                <w:szCs w:val="18"/>
              </w:rPr>
              <w:t>Yes</w:t>
            </w:r>
          </w:p>
        </w:tc>
        <w:tc>
          <w:tcPr>
            <w:tcW w:w="3529" w:type="dxa"/>
            <w:gridSpan w:val="4"/>
            <w:tcBorders>
              <w:top w:val="outset" w:sz="6" w:space="0" w:color="auto"/>
              <w:left w:val="outset" w:sz="6" w:space="0" w:color="auto"/>
              <w:bottom w:val="outset" w:sz="6" w:space="0" w:color="auto"/>
              <w:right w:val="outset" w:sz="6" w:space="0" w:color="auto"/>
            </w:tcBorders>
          </w:tcPr>
          <w:p w:rsidR="00E70375" w:rsidRPr="0062121A" w:rsidRDefault="00AB5539" w:rsidP="003D23D7">
            <w:pPr>
              <w:spacing w:before="60" w:after="60"/>
              <w:rPr>
                <w:sz w:val="18"/>
                <w:szCs w:val="18"/>
              </w:rPr>
            </w:pPr>
            <w:r w:rsidRPr="0062121A">
              <w:rPr>
                <w:sz w:val="18"/>
                <w:szCs w:val="18"/>
              </w:rPr>
              <w:t xml:space="preserve">Moderate </w:t>
            </w:r>
            <w:r w:rsidR="00E70375" w:rsidRPr="0062121A">
              <w:rPr>
                <w:sz w:val="18"/>
                <w:szCs w:val="18"/>
              </w:rPr>
              <w:t>published evidence of use in breastfeeding</w:t>
            </w:r>
          </w:p>
          <w:p w:rsidR="00E70375" w:rsidRPr="0062121A" w:rsidRDefault="00E70375" w:rsidP="003D23D7">
            <w:pPr>
              <w:spacing w:before="60" w:after="60"/>
              <w:rPr>
                <w:sz w:val="18"/>
                <w:szCs w:val="18"/>
              </w:rPr>
            </w:pPr>
            <w:r w:rsidRPr="0062121A">
              <w:rPr>
                <w:sz w:val="18"/>
                <w:szCs w:val="18"/>
              </w:rPr>
              <w:t>Small amounts in breast milk</w:t>
            </w:r>
          </w:p>
        </w:tc>
        <w:tc>
          <w:tcPr>
            <w:tcW w:w="1559" w:type="dxa"/>
            <w:gridSpan w:val="2"/>
            <w:tcBorders>
              <w:top w:val="outset" w:sz="6" w:space="0" w:color="auto"/>
              <w:left w:val="outset" w:sz="6" w:space="0" w:color="auto"/>
              <w:bottom w:val="outset" w:sz="6" w:space="0" w:color="auto"/>
              <w:right w:val="outset" w:sz="6" w:space="0" w:color="auto"/>
            </w:tcBorders>
          </w:tcPr>
          <w:p w:rsidR="00E70375" w:rsidRPr="0062121A" w:rsidRDefault="00E70375" w:rsidP="003D23D7">
            <w:pPr>
              <w:rPr>
                <w:color w:val="auto"/>
                <w:sz w:val="18"/>
                <w:szCs w:val="18"/>
              </w:rPr>
            </w:pPr>
            <w:r w:rsidRPr="0062121A">
              <w:rPr>
                <w:color w:val="auto"/>
                <w:sz w:val="18"/>
                <w:szCs w:val="18"/>
              </w:rPr>
              <w:t>-</w:t>
            </w:r>
          </w:p>
        </w:tc>
        <w:tc>
          <w:tcPr>
            <w:tcW w:w="1509" w:type="dxa"/>
            <w:gridSpan w:val="2"/>
            <w:tcBorders>
              <w:top w:val="outset" w:sz="6" w:space="0" w:color="auto"/>
              <w:left w:val="outset" w:sz="6" w:space="0" w:color="auto"/>
              <w:bottom w:val="outset" w:sz="6" w:space="0" w:color="auto"/>
              <w:right w:val="outset" w:sz="6" w:space="0" w:color="auto"/>
            </w:tcBorders>
          </w:tcPr>
          <w:p w:rsidR="00E70375" w:rsidRPr="0062121A" w:rsidRDefault="00221971" w:rsidP="003D23D7">
            <w:pPr>
              <w:rPr>
                <w:color w:val="auto"/>
                <w:sz w:val="18"/>
                <w:szCs w:val="18"/>
              </w:rPr>
            </w:pPr>
            <w:r w:rsidRPr="0062121A">
              <w:rPr>
                <w:color w:val="auto"/>
                <w:sz w:val="18"/>
                <w:szCs w:val="18"/>
              </w:rPr>
              <w:t xml:space="preserve">Bibliography </w:t>
            </w:r>
          </w:p>
        </w:tc>
      </w:tr>
      <w:tr w:rsidR="00E70375" w:rsidRPr="004319FC" w:rsidTr="00AE010D">
        <w:trPr>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tcPr>
          <w:p w:rsidR="00E70375" w:rsidRDefault="00E70375" w:rsidP="003D23D7">
            <w:pPr>
              <w:rPr>
                <w:b/>
                <w:color w:val="auto"/>
              </w:rPr>
            </w:pPr>
            <w:r>
              <w:rPr>
                <w:b/>
                <w:color w:val="auto"/>
              </w:rPr>
              <w:lastRenderedPageBreak/>
              <w:t>Nadolol</w:t>
            </w:r>
          </w:p>
        </w:tc>
        <w:tc>
          <w:tcPr>
            <w:tcW w:w="1439" w:type="dxa"/>
            <w:gridSpan w:val="3"/>
            <w:tcBorders>
              <w:top w:val="outset" w:sz="6" w:space="0" w:color="auto"/>
              <w:left w:val="outset" w:sz="6" w:space="0" w:color="auto"/>
              <w:bottom w:val="outset" w:sz="6" w:space="0" w:color="auto"/>
              <w:right w:val="outset" w:sz="6" w:space="0" w:color="auto"/>
            </w:tcBorders>
          </w:tcPr>
          <w:p w:rsidR="00E70375" w:rsidRPr="0062121A" w:rsidRDefault="00E70375" w:rsidP="003D23D7">
            <w:pPr>
              <w:jc w:val="center"/>
              <w:rPr>
                <w:sz w:val="18"/>
                <w:szCs w:val="18"/>
              </w:rPr>
            </w:pPr>
            <w:r w:rsidRPr="0062121A">
              <w:rPr>
                <w:b/>
                <w:color w:val="auto"/>
                <w:sz w:val="18"/>
                <w:szCs w:val="18"/>
              </w:rPr>
              <w:t>Caution</w:t>
            </w:r>
          </w:p>
        </w:tc>
        <w:tc>
          <w:tcPr>
            <w:tcW w:w="3529" w:type="dxa"/>
            <w:gridSpan w:val="4"/>
            <w:tcBorders>
              <w:top w:val="outset" w:sz="6" w:space="0" w:color="auto"/>
              <w:left w:val="outset" w:sz="6" w:space="0" w:color="auto"/>
              <w:bottom w:val="outset" w:sz="6" w:space="0" w:color="auto"/>
              <w:right w:val="outset" w:sz="6" w:space="0" w:color="auto"/>
            </w:tcBorders>
          </w:tcPr>
          <w:p w:rsidR="00E70375" w:rsidRPr="0062121A" w:rsidRDefault="00E70375" w:rsidP="003D23D7">
            <w:pPr>
              <w:spacing w:before="60" w:after="60"/>
              <w:rPr>
                <w:sz w:val="18"/>
                <w:szCs w:val="18"/>
              </w:rPr>
            </w:pPr>
            <w:r w:rsidRPr="0062121A">
              <w:rPr>
                <w:sz w:val="18"/>
                <w:szCs w:val="18"/>
                <w:highlight w:val="yellow"/>
              </w:rPr>
              <w:t>Very limited published evidence of safety</w:t>
            </w:r>
          </w:p>
          <w:p w:rsidR="00E70375" w:rsidRPr="0062121A" w:rsidRDefault="00E70375" w:rsidP="003D23D7">
            <w:pPr>
              <w:spacing w:before="60" w:after="60"/>
              <w:rPr>
                <w:sz w:val="18"/>
                <w:szCs w:val="18"/>
              </w:rPr>
            </w:pPr>
            <w:r w:rsidRPr="0062121A">
              <w:rPr>
                <w:sz w:val="18"/>
                <w:szCs w:val="18"/>
              </w:rPr>
              <w:t>Significant amounts in breast milk</w:t>
            </w:r>
          </w:p>
          <w:p w:rsidR="00E70375" w:rsidRPr="0062121A" w:rsidRDefault="00E70375" w:rsidP="003D23D7">
            <w:pPr>
              <w:spacing w:before="60" w:after="60"/>
              <w:rPr>
                <w:sz w:val="18"/>
                <w:szCs w:val="18"/>
              </w:rPr>
            </w:pPr>
            <w:r w:rsidRPr="0062121A">
              <w:rPr>
                <w:sz w:val="18"/>
                <w:szCs w:val="18"/>
                <w:highlight w:val="yellow"/>
              </w:rPr>
              <w:t>Long half-life (20-24 hours) could lead to accumulation in the infant</w:t>
            </w:r>
          </w:p>
          <w:p w:rsidR="0068729E" w:rsidRPr="0062121A" w:rsidRDefault="0068729E" w:rsidP="003D23D7">
            <w:pPr>
              <w:spacing w:before="60" w:after="60"/>
              <w:rPr>
                <w:sz w:val="18"/>
                <w:szCs w:val="18"/>
              </w:rPr>
            </w:pPr>
            <w:r w:rsidRPr="0062121A">
              <w:rPr>
                <w:color w:val="auto"/>
                <w:sz w:val="18"/>
                <w:szCs w:val="18"/>
                <w:highlight w:val="yellow"/>
              </w:rPr>
              <w:t>Monitor breastfed infants for signs of beta blockade, especially bradycardia</w:t>
            </w:r>
          </w:p>
        </w:tc>
        <w:tc>
          <w:tcPr>
            <w:tcW w:w="1559" w:type="dxa"/>
            <w:gridSpan w:val="2"/>
            <w:tcBorders>
              <w:top w:val="outset" w:sz="6" w:space="0" w:color="auto"/>
              <w:left w:val="outset" w:sz="6" w:space="0" w:color="auto"/>
              <w:bottom w:val="outset" w:sz="6" w:space="0" w:color="auto"/>
              <w:right w:val="outset" w:sz="6" w:space="0" w:color="auto"/>
            </w:tcBorders>
          </w:tcPr>
          <w:p w:rsidR="00E70375" w:rsidRPr="0062121A" w:rsidRDefault="00E70375" w:rsidP="003D23D7">
            <w:pPr>
              <w:rPr>
                <w:color w:val="auto"/>
                <w:sz w:val="18"/>
                <w:szCs w:val="18"/>
              </w:rPr>
            </w:pPr>
            <w:r w:rsidRPr="0062121A">
              <w:rPr>
                <w:color w:val="auto"/>
                <w:sz w:val="18"/>
                <w:szCs w:val="18"/>
              </w:rPr>
              <w:t>Propranolol</w:t>
            </w:r>
          </w:p>
        </w:tc>
        <w:tc>
          <w:tcPr>
            <w:tcW w:w="1509" w:type="dxa"/>
            <w:gridSpan w:val="2"/>
            <w:tcBorders>
              <w:top w:val="outset" w:sz="6" w:space="0" w:color="auto"/>
              <w:left w:val="outset" w:sz="6" w:space="0" w:color="auto"/>
              <w:bottom w:val="outset" w:sz="6" w:space="0" w:color="auto"/>
              <w:right w:val="outset" w:sz="6" w:space="0" w:color="auto"/>
            </w:tcBorders>
          </w:tcPr>
          <w:p w:rsidR="00E70375" w:rsidRPr="0062121A" w:rsidRDefault="00221971" w:rsidP="003D23D7">
            <w:pPr>
              <w:rPr>
                <w:color w:val="auto"/>
                <w:sz w:val="18"/>
                <w:szCs w:val="18"/>
              </w:rPr>
            </w:pPr>
            <w:r w:rsidRPr="0062121A">
              <w:rPr>
                <w:color w:val="auto"/>
                <w:sz w:val="18"/>
                <w:szCs w:val="18"/>
              </w:rPr>
              <w:t xml:space="preserve">Bibliography </w:t>
            </w:r>
          </w:p>
        </w:tc>
      </w:tr>
      <w:tr w:rsidR="00221971" w:rsidRPr="004319FC" w:rsidTr="00AE010D">
        <w:trPr>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tcPr>
          <w:p w:rsidR="00221971" w:rsidRDefault="00221971" w:rsidP="003D23D7">
            <w:pPr>
              <w:rPr>
                <w:b/>
                <w:color w:val="auto"/>
              </w:rPr>
            </w:pPr>
            <w:proofErr w:type="spellStart"/>
            <w:r>
              <w:rPr>
                <w:b/>
                <w:color w:val="auto"/>
              </w:rPr>
              <w:t>Nebivolol</w:t>
            </w:r>
            <w:proofErr w:type="spellEnd"/>
          </w:p>
        </w:tc>
        <w:tc>
          <w:tcPr>
            <w:tcW w:w="1439" w:type="dxa"/>
            <w:gridSpan w:val="3"/>
            <w:tcBorders>
              <w:top w:val="outset" w:sz="6" w:space="0" w:color="auto"/>
              <w:left w:val="outset" w:sz="6" w:space="0" w:color="auto"/>
              <w:bottom w:val="outset" w:sz="6" w:space="0" w:color="auto"/>
              <w:right w:val="outset" w:sz="6" w:space="0" w:color="auto"/>
            </w:tcBorders>
          </w:tcPr>
          <w:p w:rsidR="00221971" w:rsidRPr="0062121A" w:rsidRDefault="00221971" w:rsidP="003D23D7">
            <w:pPr>
              <w:jc w:val="center"/>
              <w:rPr>
                <w:sz w:val="18"/>
                <w:szCs w:val="18"/>
              </w:rPr>
            </w:pPr>
            <w:r w:rsidRPr="0062121A">
              <w:rPr>
                <w:b/>
                <w:color w:val="auto"/>
                <w:sz w:val="18"/>
                <w:szCs w:val="18"/>
              </w:rPr>
              <w:t>Caution</w:t>
            </w:r>
          </w:p>
        </w:tc>
        <w:tc>
          <w:tcPr>
            <w:tcW w:w="3529" w:type="dxa"/>
            <w:gridSpan w:val="4"/>
            <w:tcBorders>
              <w:top w:val="outset" w:sz="6" w:space="0" w:color="auto"/>
              <w:left w:val="outset" w:sz="6" w:space="0" w:color="auto"/>
              <w:bottom w:val="outset" w:sz="6" w:space="0" w:color="auto"/>
              <w:right w:val="outset" w:sz="6" w:space="0" w:color="auto"/>
            </w:tcBorders>
          </w:tcPr>
          <w:p w:rsidR="00221971" w:rsidRPr="0062121A" w:rsidRDefault="00221971" w:rsidP="003D23D7">
            <w:pPr>
              <w:spacing w:before="60" w:after="60"/>
              <w:rPr>
                <w:sz w:val="18"/>
                <w:szCs w:val="18"/>
              </w:rPr>
            </w:pPr>
            <w:r w:rsidRPr="0062121A">
              <w:rPr>
                <w:sz w:val="18"/>
                <w:szCs w:val="18"/>
              </w:rPr>
              <w:t>No published evidence of safety</w:t>
            </w:r>
          </w:p>
          <w:p w:rsidR="00221971" w:rsidRPr="0062121A" w:rsidRDefault="00221971" w:rsidP="003D23D7">
            <w:pPr>
              <w:spacing w:before="60" w:after="60"/>
              <w:rPr>
                <w:sz w:val="18"/>
                <w:szCs w:val="18"/>
              </w:rPr>
            </w:pPr>
            <w:r w:rsidRPr="0062121A">
              <w:rPr>
                <w:sz w:val="18"/>
                <w:szCs w:val="18"/>
              </w:rPr>
              <w:t>Low levels anticipated in milk due to the drug’s properties</w:t>
            </w:r>
          </w:p>
          <w:p w:rsidR="0068729E" w:rsidRPr="0062121A" w:rsidRDefault="0068729E" w:rsidP="003D23D7">
            <w:pPr>
              <w:spacing w:before="60" w:after="60"/>
              <w:rPr>
                <w:sz w:val="18"/>
                <w:szCs w:val="18"/>
              </w:rPr>
            </w:pPr>
            <w:r w:rsidRPr="0062121A">
              <w:rPr>
                <w:color w:val="auto"/>
                <w:sz w:val="18"/>
                <w:szCs w:val="18"/>
                <w:highlight w:val="yellow"/>
              </w:rPr>
              <w:t>Monitor breastfed infants for signs of beta blockade, especially bradycardia</w:t>
            </w:r>
          </w:p>
        </w:tc>
        <w:tc>
          <w:tcPr>
            <w:tcW w:w="1559" w:type="dxa"/>
            <w:gridSpan w:val="2"/>
            <w:tcBorders>
              <w:top w:val="outset" w:sz="6" w:space="0" w:color="auto"/>
              <w:left w:val="outset" w:sz="6" w:space="0" w:color="auto"/>
              <w:bottom w:val="outset" w:sz="6" w:space="0" w:color="auto"/>
              <w:right w:val="outset" w:sz="6" w:space="0" w:color="auto"/>
            </w:tcBorders>
          </w:tcPr>
          <w:p w:rsidR="00221971" w:rsidRPr="0062121A" w:rsidRDefault="00221971" w:rsidP="003D23D7">
            <w:pPr>
              <w:rPr>
                <w:color w:val="auto"/>
                <w:sz w:val="18"/>
                <w:szCs w:val="18"/>
              </w:rPr>
            </w:pPr>
            <w:r w:rsidRPr="0062121A">
              <w:rPr>
                <w:color w:val="auto"/>
                <w:sz w:val="18"/>
                <w:szCs w:val="18"/>
              </w:rPr>
              <w:t>Propranolol</w:t>
            </w:r>
          </w:p>
        </w:tc>
        <w:tc>
          <w:tcPr>
            <w:tcW w:w="1509" w:type="dxa"/>
            <w:gridSpan w:val="2"/>
            <w:tcBorders>
              <w:top w:val="outset" w:sz="6" w:space="0" w:color="auto"/>
              <w:left w:val="outset" w:sz="6" w:space="0" w:color="auto"/>
              <w:bottom w:val="outset" w:sz="6" w:space="0" w:color="auto"/>
              <w:right w:val="outset" w:sz="6" w:space="0" w:color="auto"/>
            </w:tcBorders>
          </w:tcPr>
          <w:p w:rsidR="00221971" w:rsidRPr="0062121A" w:rsidRDefault="00221971" w:rsidP="003D23D7">
            <w:pPr>
              <w:rPr>
                <w:color w:val="auto"/>
                <w:sz w:val="18"/>
                <w:szCs w:val="18"/>
              </w:rPr>
            </w:pPr>
            <w:r w:rsidRPr="0062121A">
              <w:rPr>
                <w:color w:val="auto"/>
                <w:sz w:val="18"/>
                <w:szCs w:val="18"/>
              </w:rPr>
              <w:t xml:space="preserve">Bibliography </w:t>
            </w:r>
          </w:p>
        </w:tc>
      </w:tr>
      <w:tr w:rsidR="00E70375" w:rsidRPr="004319FC" w:rsidTr="00AE010D">
        <w:trPr>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tcPr>
          <w:p w:rsidR="00E70375" w:rsidRDefault="00E70375" w:rsidP="003D23D7">
            <w:pPr>
              <w:rPr>
                <w:b/>
                <w:color w:val="auto"/>
              </w:rPr>
            </w:pPr>
            <w:r>
              <w:rPr>
                <w:b/>
                <w:color w:val="auto"/>
              </w:rPr>
              <w:t>Oxprenolol</w:t>
            </w:r>
          </w:p>
        </w:tc>
        <w:tc>
          <w:tcPr>
            <w:tcW w:w="1439" w:type="dxa"/>
            <w:gridSpan w:val="3"/>
            <w:tcBorders>
              <w:top w:val="outset" w:sz="6" w:space="0" w:color="auto"/>
              <w:left w:val="outset" w:sz="6" w:space="0" w:color="auto"/>
              <w:bottom w:val="outset" w:sz="6" w:space="0" w:color="auto"/>
              <w:right w:val="outset" w:sz="6" w:space="0" w:color="auto"/>
            </w:tcBorders>
          </w:tcPr>
          <w:p w:rsidR="00E70375" w:rsidRPr="0062121A" w:rsidRDefault="00E70375" w:rsidP="003D23D7">
            <w:pPr>
              <w:jc w:val="center"/>
              <w:rPr>
                <w:sz w:val="18"/>
                <w:szCs w:val="18"/>
              </w:rPr>
            </w:pPr>
            <w:r w:rsidRPr="0062121A">
              <w:rPr>
                <w:b/>
                <w:color w:val="auto"/>
                <w:sz w:val="18"/>
                <w:szCs w:val="18"/>
              </w:rPr>
              <w:t>Caution</w:t>
            </w:r>
          </w:p>
        </w:tc>
        <w:tc>
          <w:tcPr>
            <w:tcW w:w="3529" w:type="dxa"/>
            <w:gridSpan w:val="4"/>
            <w:tcBorders>
              <w:top w:val="outset" w:sz="6" w:space="0" w:color="auto"/>
              <w:left w:val="outset" w:sz="6" w:space="0" w:color="auto"/>
              <w:bottom w:val="outset" w:sz="6" w:space="0" w:color="auto"/>
              <w:right w:val="outset" w:sz="6" w:space="0" w:color="auto"/>
            </w:tcBorders>
          </w:tcPr>
          <w:p w:rsidR="00E70375" w:rsidRPr="0062121A" w:rsidRDefault="00E70375" w:rsidP="003D23D7">
            <w:pPr>
              <w:spacing w:before="60" w:after="60"/>
              <w:rPr>
                <w:sz w:val="18"/>
                <w:szCs w:val="18"/>
              </w:rPr>
            </w:pPr>
            <w:r w:rsidRPr="0062121A">
              <w:rPr>
                <w:sz w:val="18"/>
                <w:szCs w:val="18"/>
              </w:rPr>
              <w:t>Limited published evidence of safety</w:t>
            </w:r>
          </w:p>
          <w:p w:rsidR="00E70375" w:rsidRPr="0062121A" w:rsidRDefault="00E70375" w:rsidP="003D23D7">
            <w:pPr>
              <w:spacing w:before="60" w:after="60"/>
              <w:rPr>
                <w:sz w:val="18"/>
                <w:szCs w:val="18"/>
              </w:rPr>
            </w:pPr>
            <w:r w:rsidRPr="0062121A">
              <w:rPr>
                <w:sz w:val="18"/>
                <w:szCs w:val="18"/>
              </w:rPr>
              <w:t>Small amounts in breast milk</w:t>
            </w:r>
          </w:p>
          <w:p w:rsidR="0068729E" w:rsidRPr="0062121A" w:rsidRDefault="0068729E" w:rsidP="003D23D7">
            <w:pPr>
              <w:spacing w:before="60" w:after="60"/>
              <w:rPr>
                <w:sz w:val="18"/>
                <w:szCs w:val="18"/>
              </w:rPr>
            </w:pPr>
            <w:r w:rsidRPr="0062121A">
              <w:rPr>
                <w:color w:val="auto"/>
                <w:sz w:val="18"/>
                <w:szCs w:val="18"/>
                <w:highlight w:val="yellow"/>
              </w:rPr>
              <w:t>Monitor breastfed infants for signs of beta blockade, especially bradycardia</w:t>
            </w:r>
          </w:p>
        </w:tc>
        <w:tc>
          <w:tcPr>
            <w:tcW w:w="1559" w:type="dxa"/>
            <w:gridSpan w:val="2"/>
            <w:tcBorders>
              <w:top w:val="outset" w:sz="6" w:space="0" w:color="auto"/>
              <w:left w:val="outset" w:sz="6" w:space="0" w:color="auto"/>
              <w:bottom w:val="outset" w:sz="6" w:space="0" w:color="auto"/>
              <w:right w:val="outset" w:sz="6" w:space="0" w:color="auto"/>
            </w:tcBorders>
          </w:tcPr>
          <w:p w:rsidR="00E70375" w:rsidRPr="0062121A" w:rsidRDefault="00E70375" w:rsidP="003D23D7">
            <w:pPr>
              <w:rPr>
                <w:color w:val="auto"/>
                <w:sz w:val="18"/>
                <w:szCs w:val="18"/>
              </w:rPr>
            </w:pPr>
            <w:r w:rsidRPr="0062121A">
              <w:rPr>
                <w:color w:val="auto"/>
                <w:sz w:val="18"/>
                <w:szCs w:val="18"/>
              </w:rPr>
              <w:t>Propranolol</w:t>
            </w:r>
          </w:p>
        </w:tc>
        <w:tc>
          <w:tcPr>
            <w:tcW w:w="1509" w:type="dxa"/>
            <w:gridSpan w:val="2"/>
            <w:tcBorders>
              <w:top w:val="outset" w:sz="6" w:space="0" w:color="auto"/>
              <w:left w:val="outset" w:sz="6" w:space="0" w:color="auto"/>
              <w:bottom w:val="outset" w:sz="6" w:space="0" w:color="auto"/>
              <w:right w:val="outset" w:sz="6" w:space="0" w:color="auto"/>
            </w:tcBorders>
          </w:tcPr>
          <w:p w:rsidR="00E70375" w:rsidRPr="0062121A" w:rsidRDefault="00221971" w:rsidP="003D23D7">
            <w:pPr>
              <w:rPr>
                <w:color w:val="auto"/>
                <w:sz w:val="18"/>
                <w:szCs w:val="18"/>
              </w:rPr>
            </w:pPr>
            <w:r w:rsidRPr="0062121A">
              <w:rPr>
                <w:color w:val="auto"/>
                <w:sz w:val="18"/>
                <w:szCs w:val="18"/>
              </w:rPr>
              <w:t xml:space="preserve">Bibliography </w:t>
            </w:r>
          </w:p>
        </w:tc>
      </w:tr>
      <w:tr w:rsidR="00E70375" w:rsidRPr="004319FC" w:rsidTr="00AE010D">
        <w:trPr>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tcPr>
          <w:p w:rsidR="00E70375" w:rsidRDefault="00E70375" w:rsidP="003D23D7">
            <w:pPr>
              <w:rPr>
                <w:b/>
                <w:color w:val="auto"/>
              </w:rPr>
            </w:pPr>
            <w:r>
              <w:rPr>
                <w:b/>
                <w:color w:val="auto"/>
              </w:rPr>
              <w:t>Pindolol</w:t>
            </w:r>
          </w:p>
        </w:tc>
        <w:tc>
          <w:tcPr>
            <w:tcW w:w="1439" w:type="dxa"/>
            <w:gridSpan w:val="3"/>
            <w:tcBorders>
              <w:top w:val="outset" w:sz="6" w:space="0" w:color="auto"/>
              <w:left w:val="outset" w:sz="6" w:space="0" w:color="auto"/>
              <w:bottom w:val="outset" w:sz="6" w:space="0" w:color="auto"/>
              <w:right w:val="outset" w:sz="6" w:space="0" w:color="auto"/>
            </w:tcBorders>
          </w:tcPr>
          <w:p w:rsidR="00E70375" w:rsidRPr="0062121A" w:rsidRDefault="00E70375" w:rsidP="003D23D7">
            <w:pPr>
              <w:jc w:val="center"/>
              <w:rPr>
                <w:sz w:val="18"/>
                <w:szCs w:val="18"/>
              </w:rPr>
            </w:pPr>
            <w:r w:rsidRPr="0062121A">
              <w:rPr>
                <w:b/>
                <w:color w:val="auto"/>
                <w:sz w:val="18"/>
                <w:szCs w:val="18"/>
              </w:rPr>
              <w:t>Caution</w:t>
            </w:r>
          </w:p>
        </w:tc>
        <w:tc>
          <w:tcPr>
            <w:tcW w:w="3529" w:type="dxa"/>
            <w:gridSpan w:val="4"/>
            <w:tcBorders>
              <w:top w:val="outset" w:sz="6" w:space="0" w:color="auto"/>
              <w:left w:val="outset" w:sz="6" w:space="0" w:color="auto"/>
              <w:bottom w:val="outset" w:sz="6" w:space="0" w:color="auto"/>
              <w:right w:val="outset" w:sz="6" w:space="0" w:color="auto"/>
            </w:tcBorders>
          </w:tcPr>
          <w:p w:rsidR="00E70375" w:rsidRPr="0062121A" w:rsidRDefault="00AB5539" w:rsidP="003D23D7">
            <w:pPr>
              <w:spacing w:before="60" w:after="60"/>
              <w:rPr>
                <w:sz w:val="18"/>
                <w:szCs w:val="18"/>
              </w:rPr>
            </w:pPr>
            <w:r w:rsidRPr="0062121A">
              <w:rPr>
                <w:sz w:val="18"/>
                <w:szCs w:val="18"/>
              </w:rPr>
              <w:t>Very l</w:t>
            </w:r>
            <w:r w:rsidR="00E70375" w:rsidRPr="0062121A">
              <w:rPr>
                <w:sz w:val="18"/>
                <w:szCs w:val="18"/>
              </w:rPr>
              <w:t>imited published evidence of safety</w:t>
            </w:r>
          </w:p>
          <w:p w:rsidR="00E70375" w:rsidRPr="0062121A" w:rsidRDefault="00E70375" w:rsidP="003D23D7">
            <w:pPr>
              <w:spacing w:before="60" w:after="60"/>
              <w:rPr>
                <w:sz w:val="18"/>
                <w:szCs w:val="18"/>
              </w:rPr>
            </w:pPr>
            <w:r w:rsidRPr="0062121A">
              <w:rPr>
                <w:sz w:val="18"/>
                <w:szCs w:val="18"/>
              </w:rPr>
              <w:t>Small amounts in breast milk</w:t>
            </w:r>
          </w:p>
          <w:p w:rsidR="0068729E" w:rsidRPr="0062121A" w:rsidRDefault="0068729E" w:rsidP="003D23D7">
            <w:pPr>
              <w:spacing w:before="60" w:after="60"/>
              <w:rPr>
                <w:sz w:val="18"/>
                <w:szCs w:val="18"/>
              </w:rPr>
            </w:pPr>
            <w:r w:rsidRPr="0062121A">
              <w:rPr>
                <w:color w:val="auto"/>
                <w:sz w:val="18"/>
                <w:szCs w:val="18"/>
                <w:highlight w:val="yellow"/>
              </w:rPr>
              <w:t>Monitor breastfed infants for signs of beta blockade, especially bradycardia</w:t>
            </w:r>
          </w:p>
        </w:tc>
        <w:tc>
          <w:tcPr>
            <w:tcW w:w="1559" w:type="dxa"/>
            <w:gridSpan w:val="2"/>
            <w:tcBorders>
              <w:top w:val="outset" w:sz="6" w:space="0" w:color="auto"/>
              <w:left w:val="outset" w:sz="6" w:space="0" w:color="auto"/>
              <w:bottom w:val="outset" w:sz="6" w:space="0" w:color="auto"/>
              <w:right w:val="outset" w:sz="6" w:space="0" w:color="auto"/>
            </w:tcBorders>
          </w:tcPr>
          <w:p w:rsidR="00E70375" w:rsidRPr="0062121A" w:rsidRDefault="00E70375" w:rsidP="003D23D7">
            <w:pPr>
              <w:rPr>
                <w:color w:val="auto"/>
                <w:sz w:val="18"/>
                <w:szCs w:val="18"/>
              </w:rPr>
            </w:pPr>
            <w:r w:rsidRPr="0062121A">
              <w:rPr>
                <w:color w:val="auto"/>
                <w:sz w:val="18"/>
                <w:szCs w:val="18"/>
              </w:rPr>
              <w:t>Propranolol</w:t>
            </w:r>
          </w:p>
        </w:tc>
        <w:tc>
          <w:tcPr>
            <w:tcW w:w="1509" w:type="dxa"/>
            <w:gridSpan w:val="2"/>
            <w:tcBorders>
              <w:top w:val="outset" w:sz="6" w:space="0" w:color="auto"/>
              <w:left w:val="outset" w:sz="6" w:space="0" w:color="auto"/>
              <w:bottom w:val="outset" w:sz="6" w:space="0" w:color="auto"/>
              <w:right w:val="outset" w:sz="6" w:space="0" w:color="auto"/>
            </w:tcBorders>
          </w:tcPr>
          <w:p w:rsidR="00E70375" w:rsidRPr="0062121A" w:rsidRDefault="00221971" w:rsidP="003D23D7">
            <w:pPr>
              <w:rPr>
                <w:color w:val="auto"/>
                <w:sz w:val="18"/>
                <w:szCs w:val="18"/>
              </w:rPr>
            </w:pPr>
            <w:r w:rsidRPr="0062121A">
              <w:rPr>
                <w:color w:val="auto"/>
                <w:sz w:val="18"/>
                <w:szCs w:val="18"/>
              </w:rPr>
              <w:t xml:space="preserve">Bibliography </w:t>
            </w:r>
          </w:p>
        </w:tc>
      </w:tr>
      <w:tr w:rsidR="00E70375" w:rsidRPr="004319FC" w:rsidTr="00AE010D">
        <w:trPr>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tcPr>
          <w:p w:rsidR="00E70375" w:rsidRPr="00CA0C8D" w:rsidRDefault="00E70375" w:rsidP="003D23D7">
            <w:pPr>
              <w:rPr>
                <w:b/>
                <w:color w:val="auto"/>
              </w:rPr>
            </w:pPr>
            <w:r>
              <w:rPr>
                <w:b/>
                <w:color w:val="auto"/>
              </w:rPr>
              <w:t>Propranolol</w:t>
            </w:r>
          </w:p>
        </w:tc>
        <w:tc>
          <w:tcPr>
            <w:tcW w:w="1439" w:type="dxa"/>
            <w:gridSpan w:val="3"/>
            <w:tcBorders>
              <w:top w:val="outset" w:sz="6" w:space="0" w:color="auto"/>
              <w:left w:val="outset" w:sz="6" w:space="0" w:color="auto"/>
              <w:bottom w:val="outset" w:sz="6" w:space="0" w:color="auto"/>
              <w:right w:val="outset" w:sz="6" w:space="0" w:color="auto"/>
            </w:tcBorders>
          </w:tcPr>
          <w:p w:rsidR="00E70375" w:rsidRPr="0062121A" w:rsidRDefault="00E70375" w:rsidP="003D23D7">
            <w:pPr>
              <w:jc w:val="center"/>
              <w:rPr>
                <w:sz w:val="18"/>
                <w:szCs w:val="18"/>
              </w:rPr>
            </w:pPr>
            <w:r w:rsidRPr="0062121A">
              <w:rPr>
                <w:b/>
                <w:color w:val="008000"/>
                <w:sz w:val="18"/>
                <w:szCs w:val="18"/>
              </w:rPr>
              <w:t>Yes</w:t>
            </w:r>
          </w:p>
        </w:tc>
        <w:tc>
          <w:tcPr>
            <w:tcW w:w="3529" w:type="dxa"/>
            <w:gridSpan w:val="4"/>
            <w:tcBorders>
              <w:top w:val="outset" w:sz="6" w:space="0" w:color="auto"/>
              <w:left w:val="outset" w:sz="6" w:space="0" w:color="auto"/>
              <w:bottom w:val="outset" w:sz="6" w:space="0" w:color="auto"/>
              <w:right w:val="outset" w:sz="6" w:space="0" w:color="auto"/>
            </w:tcBorders>
          </w:tcPr>
          <w:p w:rsidR="00E70375" w:rsidRPr="0062121A" w:rsidRDefault="00E70375" w:rsidP="003D23D7">
            <w:pPr>
              <w:spacing w:before="60" w:after="60"/>
              <w:rPr>
                <w:sz w:val="18"/>
                <w:szCs w:val="18"/>
              </w:rPr>
            </w:pPr>
            <w:r w:rsidRPr="0062121A">
              <w:rPr>
                <w:sz w:val="18"/>
                <w:szCs w:val="18"/>
              </w:rPr>
              <w:t>Significant published evidence of use in breastfeeding</w:t>
            </w:r>
          </w:p>
          <w:p w:rsidR="00E70375" w:rsidRPr="0062121A" w:rsidRDefault="00E70375" w:rsidP="003D23D7">
            <w:pPr>
              <w:spacing w:before="60" w:after="60"/>
              <w:rPr>
                <w:sz w:val="18"/>
                <w:szCs w:val="18"/>
              </w:rPr>
            </w:pPr>
            <w:r w:rsidRPr="0062121A">
              <w:rPr>
                <w:sz w:val="18"/>
                <w:szCs w:val="18"/>
              </w:rPr>
              <w:t>Small amounts in breast milk</w:t>
            </w:r>
          </w:p>
          <w:p w:rsidR="00E70375" w:rsidRPr="0062121A" w:rsidRDefault="00E70375" w:rsidP="003D23D7">
            <w:pPr>
              <w:spacing w:before="60" w:after="60"/>
              <w:rPr>
                <w:sz w:val="18"/>
                <w:szCs w:val="18"/>
              </w:rPr>
            </w:pPr>
            <w:r w:rsidRPr="0062121A">
              <w:rPr>
                <w:sz w:val="18"/>
                <w:szCs w:val="18"/>
              </w:rPr>
              <w:t>Used in full-term neonates from birth</w:t>
            </w:r>
          </w:p>
          <w:p w:rsidR="00E70375" w:rsidRPr="0062121A" w:rsidRDefault="00E70375" w:rsidP="003D23D7">
            <w:pPr>
              <w:spacing w:before="60" w:after="60"/>
              <w:rPr>
                <w:sz w:val="18"/>
                <w:szCs w:val="18"/>
              </w:rPr>
            </w:pPr>
            <w:r w:rsidRPr="0062121A">
              <w:rPr>
                <w:sz w:val="18"/>
                <w:szCs w:val="18"/>
                <w:highlight w:val="yellow"/>
              </w:rPr>
              <w:t>Considered to be the beta blocker of choice during breastfeeding</w:t>
            </w:r>
          </w:p>
        </w:tc>
        <w:tc>
          <w:tcPr>
            <w:tcW w:w="1559" w:type="dxa"/>
            <w:gridSpan w:val="2"/>
            <w:tcBorders>
              <w:top w:val="outset" w:sz="6" w:space="0" w:color="auto"/>
              <w:left w:val="outset" w:sz="6" w:space="0" w:color="auto"/>
              <w:bottom w:val="outset" w:sz="6" w:space="0" w:color="auto"/>
              <w:right w:val="outset" w:sz="6" w:space="0" w:color="auto"/>
            </w:tcBorders>
          </w:tcPr>
          <w:p w:rsidR="00E70375" w:rsidRPr="0062121A" w:rsidRDefault="00E70375" w:rsidP="003D23D7">
            <w:pPr>
              <w:rPr>
                <w:color w:val="auto"/>
                <w:sz w:val="18"/>
                <w:szCs w:val="18"/>
              </w:rPr>
            </w:pPr>
            <w:r w:rsidRPr="0062121A">
              <w:rPr>
                <w:color w:val="auto"/>
                <w:sz w:val="18"/>
                <w:szCs w:val="18"/>
              </w:rPr>
              <w:t>-</w:t>
            </w:r>
          </w:p>
        </w:tc>
        <w:tc>
          <w:tcPr>
            <w:tcW w:w="1509" w:type="dxa"/>
            <w:gridSpan w:val="2"/>
            <w:tcBorders>
              <w:top w:val="outset" w:sz="6" w:space="0" w:color="auto"/>
              <w:left w:val="outset" w:sz="6" w:space="0" w:color="auto"/>
              <w:bottom w:val="outset" w:sz="6" w:space="0" w:color="auto"/>
              <w:right w:val="outset" w:sz="6" w:space="0" w:color="auto"/>
            </w:tcBorders>
          </w:tcPr>
          <w:p w:rsidR="00E70375" w:rsidRPr="0062121A" w:rsidRDefault="00221971" w:rsidP="003D23D7">
            <w:pPr>
              <w:rPr>
                <w:color w:val="auto"/>
                <w:sz w:val="18"/>
                <w:szCs w:val="18"/>
              </w:rPr>
            </w:pPr>
            <w:r w:rsidRPr="0062121A">
              <w:rPr>
                <w:color w:val="auto"/>
                <w:sz w:val="18"/>
                <w:szCs w:val="18"/>
              </w:rPr>
              <w:t xml:space="preserve">Bibliography </w:t>
            </w:r>
          </w:p>
        </w:tc>
      </w:tr>
      <w:tr w:rsidR="00AB5539" w:rsidRPr="004319FC" w:rsidTr="00AB5539">
        <w:trPr>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AB5539" w:rsidRDefault="00AB5539" w:rsidP="003D23D7">
            <w:pPr>
              <w:rPr>
                <w:b/>
                <w:color w:val="auto"/>
              </w:rPr>
            </w:pPr>
            <w:proofErr w:type="spellStart"/>
            <w:r>
              <w:rPr>
                <w:b/>
                <w:color w:val="auto"/>
              </w:rPr>
              <w:t>Sotalol</w:t>
            </w:r>
            <w:proofErr w:type="spellEnd"/>
          </w:p>
        </w:tc>
        <w:tc>
          <w:tcPr>
            <w:tcW w:w="8036" w:type="dxa"/>
            <w:gridSpan w:val="11"/>
            <w:tcBorders>
              <w:top w:val="outset" w:sz="6" w:space="0" w:color="auto"/>
              <w:left w:val="outset" w:sz="6" w:space="0" w:color="auto"/>
              <w:bottom w:val="outset" w:sz="6" w:space="0" w:color="auto"/>
              <w:right w:val="outset" w:sz="6" w:space="0" w:color="auto"/>
            </w:tcBorders>
            <w:shd w:val="clear" w:color="auto" w:fill="BFBFBF" w:themeFill="background1" w:themeFillShade="BF"/>
          </w:tcPr>
          <w:p w:rsidR="00AB5539" w:rsidRPr="0062121A" w:rsidRDefault="00AB5539" w:rsidP="003D23D7">
            <w:pPr>
              <w:rPr>
                <w:i/>
                <w:color w:val="auto"/>
                <w:sz w:val="18"/>
                <w:szCs w:val="18"/>
                <w:u w:val="single"/>
              </w:rPr>
            </w:pPr>
            <w:r w:rsidRPr="0062121A">
              <w:rPr>
                <w:i/>
                <w:sz w:val="18"/>
                <w:szCs w:val="18"/>
              </w:rPr>
              <w:t>Moved to 2.1 – Anti-</w:t>
            </w:r>
            <w:proofErr w:type="spellStart"/>
            <w:r w:rsidRPr="0062121A">
              <w:rPr>
                <w:i/>
                <w:sz w:val="18"/>
                <w:szCs w:val="18"/>
              </w:rPr>
              <w:t>arrhythmics</w:t>
            </w:r>
            <w:proofErr w:type="spellEnd"/>
          </w:p>
        </w:tc>
      </w:tr>
      <w:tr w:rsidR="00E70375" w:rsidRPr="004319FC" w:rsidTr="00AE010D">
        <w:trPr>
          <w:tblCellSpacing w:w="0" w:type="dxa"/>
          <w:jc w:val="center"/>
        </w:trPr>
        <w:tc>
          <w:tcPr>
            <w:tcW w:w="2695" w:type="dxa"/>
            <w:gridSpan w:val="3"/>
            <w:tcBorders>
              <w:top w:val="outset" w:sz="6" w:space="0" w:color="auto"/>
              <w:left w:val="outset" w:sz="6" w:space="0" w:color="auto"/>
              <w:bottom w:val="outset" w:sz="6" w:space="0" w:color="auto"/>
              <w:right w:val="outset" w:sz="6" w:space="0" w:color="auto"/>
            </w:tcBorders>
          </w:tcPr>
          <w:p w:rsidR="00E70375" w:rsidRPr="0011189C" w:rsidRDefault="00E70375" w:rsidP="003D23D7">
            <w:pPr>
              <w:rPr>
                <w:b/>
                <w:color w:val="auto"/>
              </w:rPr>
            </w:pPr>
            <w:proofErr w:type="spellStart"/>
            <w:r>
              <w:rPr>
                <w:b/>
                <w:color w:val="auto"/>
              </w:rPr>
              <w:t>Timolol</w:t>
            </w:r>
            <w:proofErr w:type="spellEnd"/>
            <w:r>
              <w:rPr>
                <w:b/>
                <w:color w:val="auto"/>
              </w:rPr>
              <w:t xml:space="preserve"> </w:t>
            </w:r>
            <w:r>
              <w:rPr>
                <w:b/>
                <w:i/>
                <w:color w:val="auto"/>
              </w:rPr>
              <w:t xml:space="preserve">- </w:t>
            </w:r>
            <w:r w:rsidR="00C57A06">
              <w:rPr>
                <w:b/>
                <w:i/>
                <w:color w:val="auto"/>
              </w:rPr>
              <w:t>&lt;</w:t>
            </w:r>
            <w:proofErr w:type="spellStart"/>
            <w:r w:rsidR="00C57A06">
              <w:rPr>
                <w:b/>
                <w:i/>
                <w:color w:val="auto"/>
              </w:rPr>
              <w:t>i</w:t>
            </w:r>
            <w:proofErr w:type="spellEnd"/>
            <w:r w:rsidR="00C57A06">
              <w:rPr>
                <w:b/>
                <w:i/>
                <w:color w:val="auto"/>
              </w:rPr>
              <w:t>&gt;</w:t>
            </w:r>
            <w:r w:rsidRPr="00C57A06">
              <w:rPr>
                <w:b/>
                <w:i/>
                <w:color w:val="auto"/>
              </w:rPr>
              <w:t>oral</w:t>
            </w:r>
            <w:r w:rsidR="00C57A06">
              <w:rPr>
                <w:b/>
                <w:color w:val="auto"/>
              </w:rPr>
              <w:t>&lt;/</w:t>
            </w:r>
            <w:proofErr w:type="spellStart"/>
            <w:r w:rsidR="00C57A06">
              <w:rPr>
                <w:b/>
                <w:color w:val="auto"/>
              </w:rPr>
              <w:t>i</w:t>
            </w:r>
            <w:proofErr w:type="spellEnd"/>
            <w:r w:rsidR="00C57A06">
              <w:rPr>
                <w:b/>
                <w:color w:val="auto"/>
              </w:rPr>
              <w:t>&gt;</w:t>
            </w:r>
          </w:p>
        </w:tc>
        <w:tc>
          <w:tcPr>
            <w:tcW w:w="1439" w:type="dxa"/>
            <w:gridSpan w:val="3"/>
            <w:tcBorders>
              <w:top w:val="outset" w:sz="6" w:space="0" w:color="auto"/>
              <w:left w:val="outset" w:sz="6" w:space="0" w:color="auto"/>
              <w:bottom w:val="outset" w:sz="6" w:space="0" w:color="auto"/>
              <w:right w:val="outset" w:sz="6" w:space="0" w:color="auto"/>
            </w:tcBorders>
          </w:tcPr>
          <w:p w:rsidR="00E70375" w:rsidRPr="0062121A" w:rsidRDefault="00E70375" w:rsidP="003D23D7">
            <w:pPr>
              <w:jc w:val="center"/>
              <w:rPr>
                <w:sz w:val="18"/>
                <w:szCs w:val="18"/>
              </w:rPr>
            </w:pPr>
            <w:r w:rsidRPr="0062121A">
              <w:rPr>
                <w:b/>
                <w:color w:val="auto"/>
                <w:sz w:val="18"/>
                <w:szCs w:val="18"/>
              </w:rPr>
              <w:t>Caution</w:t>
            </w:r>
          </w:p>
        </w:tc>
        <w:tc>
          <w:tcPr>
            <w:tcW w:w="3529" w:type="dxa"/>
            <w:gridSpan w:val="4"/>
            <w:tcBorders>
              <w:top w:val="outset" w:sz="6" w:space="0" w:color="auto"/>
              <w:left w:val="outset" w:sz="6" w:space="0" w:color="auto"/>
              <w:bottom w:val="outset" w:sz="6" w:space="0" w:color="auto"/>
              <w:right w:val="outset" w:sz="6" w:space="0" w:color="auto"/>
            </w:tcBorders>
          </w:tcPr>
          <w:p w:rsidR="00E70375" w:rsidRPr="0062121A" w:rsidRDefault="00E70375" w:rsidP="003D23D7">
            <w:pPr>
              <w:spacing w:before="60" w:after="60"/>
              <w:rPr>
                <w:sz w:val="18"/>
                <w:szCs w:val="18"/>
              </w:rPr>
            </w:pPr>
            <w:r w:rsidRPr="0062121A">
              <w:rPr>
                <w:sz w:val="18"/>
                <w:szCs w:val="18"/>
                <w:highlight w:val="yellow"/>
              </w:rPr>
              <w:t>Very limited published evidence of safety after oral use</w:t>
            </w:r>
          </w:p>
          <w:p w:rsidR="00E70375" w:rsidRPr="0062121A" w:rsidRDefault="00E70375" w:rsidP="003D23D7">
            <w:pPr>
              <w:spacing w:before="60" w:after="60"/>
              <w:rPr>
                <w:sz w:val="18"/>
                <w:szCs w:val="18"/>
              </w:rPr>
            </w:pPr>
            <w:r w:rsidRPr="0062121A">
              <w:rPr>
                <w:sz w:val="18"/>
                <w:szCs w:val="18"/>
              </w:rPr>
              <w:t>Small amounts in breast milk</w:t>
            </w:r>
          </w:p>
          <w:p w:rsidR="0068729E" w:rsidRPr="0062121A" w:rsidRDefault="0068729E" w:rsidP="003D23D7">
            <w:pPr>
              <w:spacing w:before="60" w:after="60"/>
              <w:rPr>
                <w:sz w:val="18"/>
                <w:szCs w:val="18"/>
              </w:rPr>
            </w:pPr>
            <w:r w:rsidRPr="0062121A">
              <w:rPr>
                <w:color w:val="auto"/>
                <w:sz w:val="18"/>
                <w:szCs w:val="18"/>
                <w:highlight w:val="yellow"/>
              </w:rPr>
              <w:t>Monitor breastfed infants for signs of beta blockade, especially bradycardia</w:t>
            </w:r>
          </w:p>
        </w:tc>
        <w:tc>
          <w:tcPr>
            <w:tcW w:w="1559" w:type="dxa"/>
            <w:gridSpan w:val="2"/>
            <w:tcBorders>
              <w:top w:val="outset" w:sz="6" w:space="0" w:color="auto"/>
              <w:left w:val="outset" w:sz="6" w:space="0" w:color="auto"/>
              <w:bottom w:val="outset" w:sz="6" w:space="0" w:color="auto"/>
              <w:right w:val="outset" w:sz="6" w:space="0" w:color="auto"/>
            </w:tcBorders>
          </w:tcPr>
          <w:p w:rsidR="00E70375" w:rsidRPr="0062121A" w:rsidRDefault="00E70375" w:rsidP="003D23D7">
            <w:pPr>
              <w:rPr>
                <w:color w:val="auto"/>
                <w:sz w:val="18"/>
                <w:szCs w:val="18"/>
              </w:rPr>
            </w:pPr>
            <w:r w:rsidRPr="0062121A">
              <w:rPr>
                <w:color w:val="auto"/>
                <w:sz w:val="18"/>
                <w:szCs w:val="18"/>
              </w:rPr>
              <w:t>Propranolol</w:t>
            </w:r>
          </w:p>
        </w:tc>
        <w:tc>
          <w:tcPr>
            <w:tcW w:w="1509" w:type="dxa"/>
            <w:gridSpan w:val="2"/>
            <w:tcBorders>
              <w:top w:val="outset" w:sz="6" w:space="0" w:color="auto"/>
              <w:left w:val="outset" w:sz="6" w:space="0" w:color="auto"/>
              <w:bottom w:val="outset" w:sz="6" w:space="0" w:color="auto"/>
              <w:right w:val="outset" w:sz="6" w:space="0" w:color="auto"/>
            </w:tcBorders>
          </w:tcPr>
          <w:p w:rsidR="00E70375" w:rsidRPr="0062121A" w:rsidRDefault="00221971" w:rsidP="003D23D7">
            <w:pPr>
              <w:rPr>
                <w:color w:val="auto"/>
                <w:sz w:val="18"/>
                <w:szCs w:val="18"/>
              </w:rPr>
            </w:pPr>
            <w:r w:rsidRPr="0062121A">
              <w:rPr>
                <w:color w:val="auto"/>
                <w:sz w:val="18"/>
                <w:szCs w:val="18"/>
              </w:rPr>
              <w:t>Bibliography</w:t>
            </w:r>
          </w:p>
        </w:tc>
      </w:tr>
      <w:tr w:rsidR="00AB5539" w:rsidRPr="004319FC" w:rsidTr="00AB5539">
        <w:tblPrEx>
          <w:tblBorders>
            <w:top w:val="none" w:sz="0" w:space="0" w:color="auto"/>
            <w:left w:val="none" w:sz="0" w:space="0" w:color="auto"/>
            <w:bottom w:val="none" w:sz="0" w:space="0" w:color="auto"/>
            <w:right w:val="none" w:sz="0" w:space="0" w:color="auto"/>
          </w:tblBorders>
          <w:shd w:val="clear" w:color="auto" w:fill="F2F2F2" w:themeFill="background1" w:themeFillShade="F2"/>
        </w:tblPrEx>
        <w:trPr>
          <w:gridBefore w:val="1"/>
          <w:gridAfter w:val="1"/>
          <w:wBefore w:w="15" w:type="dxa"/>
          <w:wAfter w:w="31" w:type="dxa"/>
          <w:tblCellSpacing w:w="0" w:type="dxa"/>
          <w:jc w:val="center"/>
        </w:trPr>
        <w:tc>
          <w:tcPr>
            <w:tcW w:w="2178" w:type="dxa"/>
            <w:shd w:val="clear" w:color="auto" w:fill="F2F2F2" w:themeFill="background1" w:themeFillShade="F2"/>
            <w:vAlign w:val="center"/>
          </w:tcPr>
          <w:p w:rsidR="00E70375" w:rsidRDefault="00E70375" w:rsidP="00776059">
            <w:pPr>
              <w:jc w:val="center"/>
              <w:rPr>
                <w:b/>
                <w:color w:val="auto"/>
              </w:rPr>
            </w:pPr>
            <w:r>
              <w:rPr>
                <w:b/>
                <w:color w:val="auto"/>
              </w:rPr>
              <w:t>Key:</w:t>
            </w:r>
          </w:p>
        </w:tc>
        <w:tc>
          <w:tcPr>
            <w:tcW w:w="587" w:type="dxa"/>
            <w:gridSpan w:val="2"/>
            <w:shd w:val="clear" w:color="auto" w:fill="F2F2F2" w:themeFill="background1" w:themeFillShade="F2"/>
            <w:vAlign w:val="center"/>
          </w:tcPr>
          <w:p w:rsidR="00E70375" w:rsidRPr="00842335" w:rsidRDefault="00E70375" w:rsidP="00776059">
            <w:pPr>
              <w:jc w:val="center"/>
              <w:rPr>
                <w:color w:val="auto"/>
              </w:rPr>
            </w:pPr>
            <w:r w:rsidRPr="00054833">
              <w:rPr>
                <w:b/>
                <w:color w:val="FF0000"/>
              </w:rPr>
              <w:t>No</w:t>
            </w:r>
          </w:p>
        </w:tc>
        <w:tc>
          <w:tcPr>
            <w:tcW w:w="1182" w:type="dxa"/>
            <w:shd w:val="clear" w:color="auto" w:fill="F2F2F2" w:themeFill="background1" w:themeFillShade="F2"/>
            <w:vAlign w:val="center"/>
          </w:tcPr>
          <w:p w:rsidR="00E70375" w:rsidRPr="00842335" w:rsidRDefault="00E70375" w:rsidP="00776059">
            <w:pPr>
              <w:jc w:val="center"/>
              <w:rPr>
                <w:color w:val="auto"/>
              </w:rPr>
            </w:pPr>
            <w:r w:rsidRPr="0072095D">
              <w:rPr>
                <w:b/>
              </w:rPr>
              <w:t>Caution</w:t>
            </w:r>
          </w:p>
        </w:tc>
        <w:tc>
          <w:tcPr>
            <w:tcW w:w="607" w:type="dxa"/>
            <w:gridSpan w:val="2"/>
            <w:shd w:val="clear" w:color="auto" w:fill="F2F2F2" w:themeFill="background1" w:themeFillShade="F2"/>
            <w:vAlign w:val="center"/>
          </w:tcPr>
          <w:p w:rsidR="00E70375" w:rsidRPr="00842335" w:rsidRDefault="00E70375" w:rsidP="00776059">
            <w:pPr>
              <w:jc w:val="center"/>
              <w:rPr>
                <w:color w:val="auto"/>
              </w:rPr>
            </w:pPr>
            <w:r w:rsidRPr="00054833">
              <w:rPr>
                <w:b/>
                <w:color w:val="008000"/>
              </w:rPr>
              <w:t>Yes</w:t>
            </w:r>
          </w:p>
        </w:tc>
        <w:tc>
          <w:tcPr>
            <w:tcW w:w="420" w:type="dxa"/>
            <w:shd w:val="clear" w:color="auto" w:fill="F2F2F2" w:themeFill="background1" w:themeFillShade="F2"/>
            <w:vAlign w:val="center"/>
          </w:tcPr>
          <w:p w:rsidR="00E70375" w:rsidRDefault="00E70375" w:rsidP="00776059">
            <w:pPr>
              <w:spacing w:after="60"/>
              <w:jc w:val="center"/>
              <w:rPr>
                <w:color w:val="auto"/>
                <w:sz w:val="18"/>
                <w:szCs w:val="18"/>
                <w:highlight w:val="yellow"/>
              </w:rPr>
            </w:pPr>
          </w:p>
        </w:tc>
        <w:tc>
          <w:tcPr>
            <w:tcW w:w="1497" w:type="dxa"/>
            <w:shd w:val="clear" w:color="auto" w:fill="F2F2F2" w:themeFill="background1" w:themeFillShade="F2"/>
            <w:vAlign w:val="center"/>
          </w:tcPr>
          <w:p w:rsidR="00E70375" w:rsidRPr="0072095D" w:rsidRDefault="00E70375" w:rsidP="00776059">
            <w:pPr>
              <w:jc w:val="center"/>
              <w:rPr>
                <w:color w:val="auto"/>
                <w:sz w:val="18"/>
                <w:szCs w:val="18"/>
              </w:rPr>
            </w:pPr>
            <w:r w:rsidRPr="009A6ACB">
              <w:rPr>
                <w:color w:val="000000" w:themeColor="text1"/>
                <w:sz w:val="18"/>
                <w:szCs w:val="18"/>
                <w:highlight w:val="green"/>
              </w:rPr>
              <w:t>New entry</w:t>
            </w:r>
          </w:p>
        </w:tc>
        <w:tc>
          <w:tcPr>
            <w:tcW w:w="1375" w:type="dxa"/>
            <w:gridSpan w:val="2"/>
            <w:shd w:val="clear" w:color="auto" w:fill="F2F2F2" w:themeFill="background1" w:themeFillShade="F2"/>
            <w:vAlign w:val="center"/>
          </w:tcPr>
          <w:p w:rsidR="00E70375" w:rsidRPr="0072095D" w:rsidRDefault="00E70375" w:rsidP="00776059">
            <w:pPr>
              <w:jc w:val="center"/>
              <w:rPr>
                <w:color w:val="auto"/>
                <w:sz w:val="18"/>
                <w:szCs w:val="18"/>
              </w:rPr>
            </w:pPr>
            <w:r w:rsidRPr="0072095D">
              <w:rPr>
                <w:color w:val="000000" w:themeColor="text1"/>
                <w:sz w:val="18"/>
                <w:szCs w:val="18"/>
                <w:highlight w:val="cyan"/>
              </w:rPr>
              <w:t>SPS only change</w:t>
            </w:r>
          </w:p>
        </w:tc>
        <w:tc>
          <w:tcPr>
            <w:tcW w:w="2839" w:type="dxa"/>
            <w:gridSpan w:val="2"/>
            <w:shd w:val="clear" w:color="auto" w:fill="F2F2F2" w:themeFill="background1" w:themeFillShade="F2"/>
            <w:vAlign w:val="center"/>
          </w:tcPr>
          <w:p w:rsidR="00E70375" w:rsidRPr="0072095D" w:rsidRDefault="00E70375" w:rsidP="00776059">
            <w:pPr>
              <w:jc w:val="center"/>
              <w:rPr>
                <w:color w:val="auto"/>
                <w:sz w:val="18"/>
                <w:szCs w:val="18"/>
                <w:highlight w:val="green"/>
              </w:rPr>
            </w:pPr>
            <w:r w:rsidRPr="0072095D">
              <w:rPr>
                <w:color w:val="auto"/>
                <w:sz w:val="18"/>
                <w:szCs w:val="18"/>
                <w:highlight w:val="yellow"/>
              </w:rPr>
              <w:t>Non-standard comment</w:t>
            </w:r>
          </w:p>
        </w:tc>
      </w:tr>
    </w:tbl>
    <w:p w:rsidR="001840DF" w:rsidRDefault="001840DF" w:rsidP="001840DF">
      <w:pPr>
        <w:spacing w:before="120" w:after="120"/>
        <w:rPr>
          <w:rStyle w:val="Hyperlink"/>
          <w:sz w:val="18"/>
          <w:szCs w:val="18"/>
        </w:rPr>
      </w:pPr>
      <w:r>
        <w:rPr>
          <w:rStyle w:val="Hyperlink"/>
          <w:sz w:val="18"/>
          <w:szCs w:val="18"/>
        </w:rPr>
        <w:t xml:space="preserve">Bibliography link: </w:t>
      </w:r>
    </w:p>
    <w:p w:rsidR="001840DF" w:rsidRPr="001840DF" w:rsidRDefault="001840DF" w:rsidP="001840DF">
      <w:pPr>
        <w:ind w:left="720"/>
        <w:rPr>
          <w:color w:val="000000" w:themeColor="text1"/>
        </w:rPr>
      </w:pPr>
      <w:r>
        <w:rPr>
          <w:rStyle w:val="Hyperlink"/>
          <w:color w:val="000000" w:themeColor="text1"/>
          <w:sz w:val="18"/>
          <w:szCs w:val="18"/>
        </w:rPr>
        <w:t>http://www.midlandsmedicines.nhs.uk/content.asp?ContentID=171&amp;section=6&amp;subsection=17&amp;pageidx=6</w:t>
      </w:r>
    </w:p>
    <w:p w:rsidR="00CA0C8D" w:rsidRPr="00977D6D" w:rsidRDefault="00706C0B" w:rsidP="00F44709">
      <w:pPr>
        <w:pStyle w:val="Heading3"/>
      </w:pPr>
      <w:r>
        <w:t xml:space="preserve">Author’s Notes: </w:t>
      </w:r>
    </w:p>
    <w:tbl>
      <w:tblPr>
        <w:tblW w:w="10326" w:type="dxa"/>
        <w:tblInd w:w="-318" w:type="dxa"/>
        <w:tblBorders>
          <w:top w:val="single" w:sz="2" w:space="0" w:color="auto"/>
          <w:left w:val="single" w:sz="2" w:space="0" w:color="auto"/>
          <w:bottom w:val="single" w:sz="2" w:space="0" w:color="auto"/>
          <w:right w:val="single" w:sz="2" w:space="0" w:color="auto"/>
          <w:insideH w:val="single" w:sz="2" w:space="0" w:color="A6A6A6"/>
          <w:insideV w:val="single" w:sz="2" w:space="0" w:color="A6A6A6"/>
        </w:tblBorders>
        <w:tblLook w:val="01E0" w:firstRow="1" w:lastRow="1" w:firstColumn="1" w:lastColumn="1" w:noHBand="0" w:noVBand="0"/>
      </w:tblPr>
      <w:tblGrid>
        <w:gridCol w:w="1986"/>
        <w:gridCol w:w="992"/>
        <w:gridCol w:w="7348"/>
      </w:tblGrid>
      <w:tr w:rsidR="0052286D" w:rsidRPr="00E97CE7" w:rsidTr="00776059">
        <w:tc>
          <w:tcPr>
            <w:tcW w:w="1986" w:type="dxa"/>
            <w:vMerge w:val="restart"/>
            <w:tcBorders>
              <w:top w:val="single" w:sz="2" w:space="0" w:color="A6A6A6"/>
            </w:tcBorders>
            <w:shd w:val="clear" w:color="auto" w:fill="auto"/>
          </w:tcPr>
          <w:p w:rsidR="0052286D" w:rsidRPr="00CA0C8D" w:rsidRDefault="00E70375" w:rsidP="003D23D7">
            <w:pPr>
              <w:rPr>
                <w:b/>
                <w:color w:val="auto"/>
              </w:rPr>
            </w:pPr>
            <w:r>
              <w:rPr>
                <w:b/>
                <w:color w:val="auto"/>
              </w:rPr>
              <w:t>Acebutolol</w:t>
            </w:r>
          </w:p>
        </w:tc>
        <w:tc>
          <w:tcPr>
            <w:tcW w:w="992" w:type="dxa"/>
            <w:shd w:val="clear" w:color="auto" w:fill="auto"/>
          </w:tcPr>
          <w:p w:rsidR="0052286D" w:rsidRPr="00E97CE7" w:rsidRDefault="0052286D" w:rsidP="00706C0B">
            <w:pPr>
              <w:rPr>
                <w:rFonts w:ascii="Calibri" w:hAnsi="Calibri"/>
                <w:b/>
                <w:color w:val="auto"/>
                <w:sz w:val="18"/>
                <w:szCs w:val="18"/>
              </w:rPr>
            </w:pPr>
            <w:r w:rsidRPr="00E97CE7">
              <w:rPr>
                <w:rFonts w:ascii="Calibri" w:hAnsi="Calibri"/>
                <w:b/>
                <w:color w:val="auto"/>
                <w:sz w:val="18"/>
                <w:szCs w:val="18"/>
              </w:rPr>
              <w:t>LactMed</w:t>
            </w:r>
          </w:p>
        </w:tc>
        <w:tc>
          <w:tcPr>
            <w:tcW w:w="7348" w:type="dxa"/>
            <w:shd w:val="clear" w:color="auto" w:fill="auto"/>
          </w:tcPr>
          <w:p w:rsidR="0052286D" w:rsidRPr="009C2A96" w:rsidRDefault="00E15B65" w:rsidP="006722C3">
            <w:pPr>
              <w:rPr>
                <w:rFonts w:asciiTheme="minorHAnsi" w:hAnsiTheme="minorHAnsi"/>
                <w:b/>
                <w:color w:val="000000" w:themeColor="text1"/>
                <w:sz w:val="18"/>
                <w:szCs w:val="18"/>
              </w:rPr>
            </w:pPr>
            <w:r w:rsidRPr="009C2A96">
              <w:rPr>
                <w:rFonts w:asciiTheme="minorHAnsi" w:hAnsiTheme="minorHAnsi"/>
                <w:color w:val="000000" w:themeColor="text1"/>
                <w:sz w:val="18"/>
                <w:szCs w:val="18"/>
                <w:lang w:val="en"/>
              </w:rPr>
              <w:t xml:space="preserve">Because of the relatively extensive excretion of </w:t>
            </w:r>
            <w:r w:rsidRPr="009C2A96">
              <w:rPr>
                <w:rStyle w:val="Strong"/>
                <w:rFonts w:asciiTheme="minorHAnsi" w:hAnsiTheme="minorHAnsi"/>
                <w:b w:val="0"/>
                <w:color w:val="000000" w:themeColor="text1"/>
                <w:sz w:val="18"/>
                <w:szCs w:val="18"/>
                <w:lang w:val="en"/>
              </w:rPr>
              <w:t>acebutolo</w:t>
            </w:r>
            <w:r w:rsidRPr="009C2A96">
              <w:rPr>
                <w:rStyle w:val="Strong"/>
                <w:rFonts w:asciiTheme="minorHAnsi" w:hAnsiTheme="minorHAnsi"/>
                <w:color w:val="000000" w:themeColor="text1"/>
                <w:sz w:val="18"/>
                <w:szCs w:val="18"/>
                <w:lang w:val="en"/>
              </w:rPr>
              <w:t>l</w:t>
            </w:r>
            <w:r w:rsidRPr="009C2A96">
              <w:rPr>
                <w:rFonts w:asciiTheme="minorHAnsi" w:hAnsiTheme="minorHAnsi"/>
                <w:color w:val="000000" w:themeColor="text1"/>
                <w:sz w:val="18"/>
                <w:szCs w:val="18"/>
                <w:lang w:val="en"/>
              </w:rPr>
              <w:t xml:space="preserve"> and its active metabolite </w:t>
            </w:r>
            <w:proofErr w:type="spellStart"/>
            <w:r w:rsidRPr="009C2A96">
              <w:rPr>
                <w:rStyle w:val="Strong"/>
                <w:rFonts w:asciiTheme="minorHAnsi" w:hAnsiTheme="minorHAnsi"/>
                <w:b w:val="0"/>
                <w:color w:val="000000" w:themeColor="text1"/>
                <w:sz w:val="18"/>
                <w:szCs w:val="18"/>
                <w:lang w:val="en"/>
              </w:rPr>
              <w:t>diacetolol</w:t>
            </w:r>
            <w:proofErr w:type="spellEnd"/>
            <w:r w:rsidRPr="009C2A96">
              <w:rPr>
                <w:rFonts w:asciiTheme="minorHAnsi" w:hAnsiTheme="minorHAnsi"/>
                <w:color w:val="000000" w:themeColor="text1"/>
                <w:sz w:val="18"/>
                <w:szCs w:val="18"/>
                <w:lang w:val="en"/>
              </w:rPr>
              <w:t xml:space="preserve"> into breastmilk and their extensive renal excretion, other agents may be preferred, especially while nursing a newborn or preterm infant</w:t>
            </w:r>
          </w:p>
        </w:tc>
      </w:tr>
      <w:tr w:rsidR="0052286D" w:rsidRPr="00E97CE7" w:rsidTr="00776059">
        <w:tc>
          <w:tcPr>
            <w:tcW w:w="1986" w:type="dxa"/>
            <w:vMerge/>
            <w:shd w:val="clear" w:color="auto" w:fill="auto"/>
          </w:tcPr>
          <w:p w:rsidR="0052286D" w:rsidRPr="00E97CE7" w:rsidRDefault="0052286D" w:rsidP="00706C0B">
            <w:pPr>
              <w:spacing w:after="120"/>
              <w:rPr>
                <w:b/>
                <w:color w:val="auto"/>
              </w:rPr>
            </w:pPr>
          </w:p>
        </w:tc>
        <w:tc>
          <w:tcPr>
            <w:tcW w:w="992" w:type="dxa"/>
            <w:shd w:val="clear" w:color="auto" w:fill="auto"/>
          </w:tcPr>
          <w:p w:rsidR="0052286D" w:rsidRPr="00E97CE7" w:rsidRDefault="0052286D" w:rsidP="00706C0B">
            <w:pPr>
              <w:rPr>
                <w:rFonts w:ascii="Calibri" w:hAnsi="Calibri"/>
                <w:b/>
                <w:color w:val="auto"/>
                <w:sz w:val="18"/>
                <w:szCs w:val="18"/>
              </w:rPr>
            </w:pPr>
            <w:r w:rsidRPr="00E97CE7">
              <w:rPr>
                <w:rFonts w:ascii="Calibri" w:hAnsi="Calibri"/>
                <w:b/>
                <w:color w:val="auto"/>
                <w:sz w:val="18"/>
                <w:szCs w:val="18"/>
              </w:rPr>
              <w:t>Hale</w:t>
            </w:r>
          </w:p>
        </w:tc>
        <w:tc>
          <w:tcPr>
            <w:tcW w:w="7348" w:type="dxa"/>
            <w:shd w:val="clear" w:color="auto" w:fill="auto"/>
          </w:tcPr>
          <w:p w:rsidR="0052286D" w:rsidRPr="009C2A96" w:rsidRDefault="00142D40" w:rsidP="003F204B">
            <w:pPr>
              <w:rPr>
                <w:rFonts w:asciiTheme="minorHAnsi" w:hAnsiTheme="minorHAnsi"/>
                <w:color w:val="000000" w:themeColor="text1"/>
                <w:sz w:val="18"/>
                <w:szCs w:val="18"/>
              </w:rPr>
            </w:pPr>
            <w:r w:rsidRPr="009C2A96">
              <w:rPr>
                <w:rFonts w:asciiTheme="minorHAnsi" w:hAnsiTheme="minorHAnsi"/>
                <w:color w:val="000000" w:themeColor="text1"/>
                <w:sz w:val="18"/>
                <w:szCs w:val="18"/>
              </w:rPr>
              <w:t xml:space="preserve">It is low in lipid solubility. In a study of </w:t>
            </w:r>
            <w:r w:rsidR="003F204B" w:rsidRPr="009C2A96">
              <w:rPr>
                <w:rFonts w:asciiTheme="minorHAnsi" w:hAnsiTheme="minorHAnsi"/>
                <w:color w:val="000000" w:themeColor="text1"/>
                <w:sz w:val="18"/>
                <w:szCs w:val="18"/>
              </w:rPr>
              <w:t>7</w:t>
            </w:r>
            <w:r w:rsidRPr="009C2A96">
              <w:rPr>
                <w:rFonts w:asciiTheme="minorHAnsi" w:hAnsiTheme="minorHAnsi"/>
                <w:color w:val="000000" w:themeColor="text1"/>
                <w:sz w:val="18"/>
                <w:szCs w:val="18"/>
              </w:rPr>
              <w:t xml:space="preserve"> women receiving 200-12</w:t>
            </w:r>
            <w:r w:rsidR="003F204B" w:rsidRPr="009C2A96">
              <w:rPr>
                <w:rFonts w:asciiTheme="minorHAnsi" w:hAnsiTheme="minorHAnsi"/>
                <w:color w:val="000000" w:themeColor="text1"/>
                <w:sz w:val="18"/>
                <w:szCs w:val="18"/>
              </w:rPr>
              <w:t>00 mg/</w:t>
            </w:r>
            <w:proofErr w:type="gramStart"/>
            <w:r w:rsidR="003F204B" w:rsidRPr="009C2A96">
              <w:rPr>
                <w:rFonts w:asciiTheme="minorHAnsi" w:hAnsiTheme="minorHAnsi"/>
                <w:color w:val="000000" w:themeColor="text1"/>
                <w:sz w:val="18"/>
                <w:szCs w:val="18"/>
              </w:rPr>
              <w:t xml:space="preserve">day </w:t>
            </w:r>
            <w:r w:rsidRPr="009C2A96">
              <w:rPr>
                <w:rFonts w:asciiTheme="minorHAnsi" w:hAnsiTheme="minorHAnsi"/>
                <w:color w:val="000000" w:themeColor="text1"/>
                <w:sz w:val="18"/>
                <w:szCs w:val="18"/>
              </w:rPr>
              <w:t>,</w:t>
            </w:r>
            <w:proofErr w:type="gramEnd"/>
            <w:r w:rsidRPr="009C2A96">
              <w:rPr>
                <w:rFonts w:asciiTheme="minorHAnsi" w:hAnsiTheme="minorHAnsi"/>
                <w:color w:val="000000" w:themeColor="text1"/>
                <w:sz w:val="18"/>
                <w:szCs w:val="18"/>
              </w:rPr>
              <w:t xml:space="preserve"> the highest milk </w:t>
            </w:r>
            <w:proofErr w:type="spellStart"/>
            <w:r w:rsidRPr="009C2A96">
              <w:rPr>
                <w:rFonts w:asciiTheme="minorHAnsi" w:hAnsiTheme="minorHAnsi"/>
                <w:color w:val="000000" w:themeColor="text1"/>
                <w:sz w:val="18"/>
                <w:szCs w:val="18"/>
              </w:rPr>
              <w:t>conc</w:t>
            </w:r>
            <w:proofErr w:type="spellEnd"/>
            <w:r w:rsidRPr="009C2A96">
              <w:rPr>
                <w:rFonts w:asciiTheme="minorHAnsi" w:hAnsiTheme="minorHAnsi"/>
                <w:color w:val="000000" w:themeColor="text1"/>
                <w:sz w:val="18"/>
                <w:szCs w:val="18"/>
              </w:rPr>
              <w:t xml:space="preserve"> occurred in the women receiving 12</w:t>
            </w:r>
            <w:r w:rsidR="003F204B" w:rsidRPr="009C2A96">
              <w:rPr>
                <w:rFonts w:asciiTheme="minorHAnsi" w:hAnsiTheme="minorHAnsi"/>
                <w:color w:val="000000" w:themeColor="text1"/>
                <w:sz w:val="18"/>
                <w:szCs w:val="18"/>
              </w:rPr>
              <w:t>00 mg/day and was 4,123 µg/L.</w:t>
            </w:r>
            <w:r w:rsidRPr="009C2A96">
              <w:rPr>
                <w:rFonts w:asciiTheme="minorHAnsi" w:hAnsiTheme="minorHAnsi"/>
                <w:color w:val="000000" w:themeColor="text1"/>
                <w:sz w:val="18"/>
                <w:szCs w:val="18"/>
              </w:rPr>
              <w:t xml:space="preserve"> In women receiving 200, 400, or 600 mg/day, milk levels were 286 µg/L, </w:t>
            </w:r>
            <w:proofErr w:type="gramStart"/>
            <w:r w:rsidRPr="009C2A96">
              <w:rPr>
                <w:rFonts w:asciiTheme="minorHAnsi" w:hAnsiTheme="minorHAnsi"/>
                <w:color w:val="000000" w:themeColor="text1"/>
                <w:sz w:val="18"/>
                <w:szCs w:val="18"/>
              </w:rPr>
              <w:t>666 µg/L</w:t>
            </w:r>
            <w:proofErr w:type="gramEnd"/>
            <w:r w:rsidRPr="009C2A96">
              <w:rPr>
                <w:rFonts w:asciiTheme="minorHAnsi" w:hAnsiTheme="minorHAnsi"/>
                <w:color w:val="000000" w:themeColor="text1"/>
                <w:sz w:val="18"/>
                <w:szCs w:val="18"/>
              </w:rPr>
              <w:t xml:space="preserve"> and 539 µg/L, respectively. Adverse effects of beta-blockade were reported. Acebutolol and its major active metabolite, </w:t>
            </w:r>
            <w:proofErr w:type="spellStart"/>
            <w:r w:rsidRPr="009C2A96">
              <w:rPr>
                <w:rFonts w:asciiTheme="minorHAnsi" w:hAnsiTheme="minorHAnsi"/>
                <w:color w:val="000000" w:themeColor="text1"/>
                <w:sz w:val="18"/>
                <w:szCs w:val="18"/>
              </w:rPr>
              <w:t>diacetolol</w:t>
            </w:r>
            <w:proofErr w:type="spellEnd"/>
            <w:r w:rsidRPr="009C2A96">
              <w:rPr>
                <w:rFonts w:asciiTheme="minorHAnsi" w:hAnsiTheme="minorHAnsi"/>
                <w:color w:val="000000" w:themeColor="text1"/>
                <w:sz w:val="18"/>
                <w:szCs w:val="18"/>
              </w:rPr>
              <w:t xml:space="preserve">, appear in breastmilk with </w:t>
            </w:r>
            <w:proofErr w:type="gramStart"/>
            <w:r w:rsidRPr="009C2A96">
              <w:rPr>
                <w:rFonts w:asciiTheme="minorHAnsi" w:hAnsiTheme="minorHAnsi"/>
                <w:color w:val="000000" w:themeColor="text1"/>
                <w:sz w:val="18"/>
                <w:szCs w:val="18"/>
              </w:rPr>
              <w:t>a</w:t>
            </w:r>
            <w:proofErr w:type="gramEnd"/>
            <w:r w:rsidRPr="009C2A96">
              <w:rPr>
                <w:rFonts w:asciiTheme="minorHAnsi" w:hAnsiTheme="minorHAnsi"/>
                <w:color w:val="000000" w:themeColor="text1"/>
                <w:sz w:val="18"/>
                <w:szCs w:val="18"/>
              </w:rPr>
              <w:t xml:space="preserve"> </w:t>
            </w:r>
            <w:r w:rsidR="003F204B" w:rsidRPr="009C2A96">
              <w:rPr>
                <w:rFonts w:asciiTheme="minorHAnsi" w:hAnsiTheme="minorHAnsi"/>
                <w:color w:val="000000" w:themeColor="text1"/>
                <w:sz w:val="18"/>
                <w:szCs w:val="18"/>
              </w:rPr>
              <w:t>M/P</w:t>
            </w:r>
            <w:r w:rsidRPr="009C2A96">
              <w:rPr>
                <w:rFonts w:asciiTheme="minorHAnsi" w:hAnsiTheme="minorHAnsi"/>
                <w:color w:val="000000" w:themeColor="text1"/>
                <w:sz w:val="18"/>
                <w:szCs w:val="18"/>
              </w:rPr>
              <w:t xml:space="preserve"> of 1.9 to 9.2 (acebutolol) and 2.3 to 24.7 (</w:t>
            </w:r>
            <w:proofErr w:type="spellStart"/>
            <w:r w:rsidRPr="009C2A96">
              <w:rPr>
                <w:rFonts w:asciiTheme="minorHAnsi" w:hAnsiTheme="minorHAnsi"/>
                <w:color w:val="000000" w:themeColor="text1"/>
                <w:sz w:val="18"/>
                <w:szCs w:val="18"/>
              </w:rPr>
              <w:t>diacetolol</w:t>
            </w:r>
            <w:proofErr w:type="spellEnd"/>
            <w:r w:rsidRPr="009C2A96">
              <w:rPr>
                <w:rFonts w:asciiTheme="minorHAnsi" w:hAnsiTheme="minorHAnsi"/>
                <w:color w:val="000000" w:themeColor="text1"/>
                <w:sz w:val="18"/>
                <w:szCs w:val="18"/>
              </w:rPr>
              <w:t xml:space="preserve">). These levels are considered relatively high and occurred following maternal doses of 400-1200 mg/day. When the metabolite is added, the infant dose may approach 10% of the maternal dose. </w:t>
            </w:r>
            <w:r w:rsidR="009C2A96" w:rsidRPr="009C2A96">
              <w:rPr>
                <w:rFonts w:asciiTheme="minorHAnsi" w:hAnsiTheme="minorHAnsi"/>
                <w:color w:val="000000" w:themeColor="text1"/>
                <w:sz w:val="18"/>
                <w:szCs w:val="18"/>
              </w:rPr>
              <w:t>T</w:t>
            </w:r>
            <w:r w:rsidR="009C2A96" w:rsidRPr="009C2A96">
              <w:rPr>
                <w:rFonts w:asciiTheme="minorHAnsi" w:hAnsiTheme="minorHAnsi"/>
                <w:b/>
                <w:color w:val="auto"/>
                <w:sz w:val="18"/>
                <w:szCs w:val="18"/>
              </w:rPr>
              <w:t xml:space="preserve">½ </w:t>
            </w:r>
            <w:r w:rsidRPr="009C2A96">
              <w:rPr>
                <w:rFonts w:asciiTheme="minorHAnsi" w:hAnsiTheme="minorHAnsi"/>
                <w:color w:val="000000" w:themeColor="text1"/>
                <w:sz w:val="18"/>
                <w:szCs w:val="18"/>
              </w:rPr>
              <w:t xml:space="preserve">3-4h. M/P 7-12/ PB 26%. Oral 35-50% </w:t>
            </w:r>
            <w:proofErr w:type="spellStart"/>
            <w:r w:rsidRPr="009C2A96">
              <w:rPr>
                <w:rFonts w:asciiTheme="minorHAnsi" w:hAnsiTheme="minorHAnsi"/>
                <w:color w:val="000000" w:themeColor="text1"/>
                <w:sz w:val="18"/>
                <w:szCs w:val="18"/>
              </w:rPr>
              <w:t>pKa</w:t>
            </w:r>
            <w:proofErr w:type="spellEnd"/>
            <w:r w:rsidRPr="009C2A96">
              <w:rPr>
                <w:rFonts w:asciiTheme="minorHAnsi" w:hAnsiTheme="minorHAnsi"/>
                <w:color w:val="000000" w:themeColor="text1"/>
                <w:sz w:val="18"/>
                <w:szCs w:val="18"/>
              </w:rPr>
              <w:t xml:space="preserve"> 13.9. Cat L3 - Limited Data-Probably Compatible</w:t>
            </w:r>
          </w:p>
        </w:tc>
      </w:tr>
      <w:tr w:rsidR="0052286D" w:rsidRPr="00E97CE7" w:rsidTr="00776059">
        <w:tc>
          <w:tcPr>
            <w:tcW w:w="1986" w:type="dxa"/>
            <w:vMerge/>
            <w:shd w:val="clear" w:color="auto" w:fill="auto"/>
          </w:tcPr>
          <w:p w:rsidR="0052286D" w:rsidRPr="00E97CE7" w:rsidRDefault="0052286D" w:rsidP="00706C0B">
            <w:pPr>
              <w:spacing w:after="120"/>
              <w:rPr>
                <w:b/>
                <w:color w:val="auto"/>
              </w:rPr>
            </w:pPr>
          </w:p>
        </w:tc>
        <w:tc>
          <w:tcPr>
            <w:tcW w:w="992" w:type="dxa"/>
            <w:tcBorders>
              <w:bottom w:val="single" w:sz="2" w:space="0" w:color="A6A6A6"/>
            </w:tcBorders>
            <w:shd w:val="clear" w:color="auto" w:fill="auto"/>
          </w:tcPr>
          <w:p w:rsidR="0052286D" w:rsidRPr="00E97CE7" w:rsidRDefault="0052286D" w:rsidP="00706C0B">
            <w:pPr>
              <w:rPr>
                <w:rFonts w:ascii="Calibri" w:hAnsi="Calibri"/>
                <w:b/>
                <w:color w:val="auto"/>
                <w:sz w:val="18"/>
                <w:szCs w:val="18"/>
              </w:rPr>
            </w:pPr>
            <w:r w:rsidRPr="00E97CE7">
              <w:rPr>
                <w:rFonts w:ascii="Calibri" w:hAnsi="Calibri"/>
                <w:b/>
                <w:color w:val="auto"/>
                <w:sz w:val="18"/>
                <w:szCs w:val="18"/>
              </w:rPr>
              <w:t>Briggs</w:t>
            </w:r>
          </w:p>
        </w:tc>
        <w:tc>
          <w:tcPr>
            <w:tcW w:w="7348" w:type="dxa"/>
            <w:tcBorders>
              <w:bottom w:val="single" w:sz="2" w:space="0" w:color="A6A6A6"/>
            </w:tcBorders>
            <w:shd w:val="clear" w:color="auto" w:fill="auto"/>
          </w:tcPr>
          <w:p w:rsidR="0052286D" w:rsidRPr="009C2A96" w:rsidRDefault="00D40808" w:rsidP="004B4401">
            <w:pPr>
              <w:rPr>
                <w:rFonts w:asciiTheme="minorHAnsi" w:hAnsiTheme="minorHAnsi"/>
                <w:color w:val="000000" w:themeColor="text1"/>
                <w:sz w:val="18"/>
                <w:szCs w:val="18"/>
              </w:rPr>
            </w:pPr>
            <w:r w:rsidRPr="009C2A96">
              <w:rPr>
                <w:rFonts w:asciiTheme="minorHAnsi" w:hAnsiTheme="minorHAnsi"/>
                <w:sz w:val="18"/>
                <w:szCs w:val="18"/>
              </w:rPr>
              <w:t>Limited Human Data—Potential Toxicity</w:t>
            </w:r>
          </w:p>
        </w:tc>
      </w:tr>
      <w:tr w:rsidR="0052286D" w:rsidRPr="00E97CE7" w:rsidTr="00776059">
        <w:tc>
          <w:tcPr>
            <w:tcW w:w="1986" w:type="dxa"/>
            <w:vMerge/>
            <w:shd w:val="clear" w:color="auto" w:fill="auto"/>
          </w:tcPr>
          <w:p w:rsidR="0052286D" w:rsidRPr="00E97CE7" w:rsidRDefault="0052286D" w:rsidP="00706C0B">
            <w:pPr>
              <w:spacing w:after="120"/>
              <w:rPr>
                <w:b/>
                <w:color w:val="auto"/>
              </w:rPr>
            </w:pPr>
          </w:p>
        </w:tc>
        <w:tc>
          <w:tcPr>
            <w:tcW w:w="992" w:type="dxa"/>
            <w:tcBorders>
              <w:top w:val="single" w:sz="2" w:space="0" w:color="A6A6A6"/>
              <w:bottom w:val="single" w:sz="2" w:space="0" w:color="000000"/>
            </w:tcBorders>
            <w:shd w:val="clear" w:color="auto" w:fill="auto"/>
          </w:tcPr>
          <w:p w:rsidR="0052286D" w:rsidRPr="009439B8" w:rsidRDefault="0052286D" w:rsidP="003D23D7">
            <w:pPr>
              <w:rPr>
                <w:rFonts w:ascii="Calibri" w:hAnsi="Calibri"/>
                <w:b/>
                <w:color w:val="auto"/>
              </w:rPr>
            </w:pPr>
          </w:p>
        </w:tc>
        <w:tc>
          <w:tcPr>
            <w:tcW w:w="7348" w:type="dxa"/>
            <w:tcBorders>
              <w:top w:val="single" w:sz="2" w:space="0" w:color="A6A6A6"/>
              <w:bottom w:val="single" w:sz="2" w:space="0" w:color="000000"/>
            </w:tcBorders>
            <w:shd w:val="clear" w:color="auto" w:fill="auto"/>
          </w:tcPr>
          <w:p w:rsidR="0052286D" w:rsidRPr="009C2A96" w:rsidRDefault="0052286D" w:rsidP="003D23D7">
            <w:pPr>
              <w:rPr>
                <w:rFonts w:asciiTheme="minorHAnsi" w:hAnsiTheme="minorHAnsi"/>
                <w:color w:val="000000" w:themeColor="text1"/>
                <w:sz w:val="18"/>
                <w:szCs w:val="18"/>
              </w:rPr>
            </w:pPr>
          </w:p>
        </w:tc>
      </w:tr>
      <w:tr w:rsidR="0052286D" w:rsidRPr="00E97CE7" w:rsidTr="00776059">
        <w:tc>
          <w:tcPr>
            <w:tcW w:w="1986" w:type="dxa"/>
            <w:vMerge w:val="restart"/>
            <w:tcBorders>
              <w:bottom w:val="single" w:sz="2" w:space="0" w:color="A6A6A6"/>
            </w:tcBorders>
            <w:shd w:val="clear" w:color="auto" w:fill="auto"/>
          </w:tcPr>
          <w:p w:rsidR="0052286D" w:rsidRPr="00E97CE7" w:rsidRDefault="00E70375" w:rsidP="00706C0B">
            <w:pPr>
              <w:spacing w:after="120"/>
              <w:rPr>
                <w:b/>
                <w:color w:val="auto"/>
              </w:rPr>
            </w:pPr>
            <w:r>
              <w:rPr>
                <w:b/>
                <w:color w:val="auto"/>
              </w:rPr>
              <w:t>Atenolol</w:t>
            </w:r>
          </w:p>
        </w:tc>
        <w:tc>
          <w:tcPr>
            <w:tcW w:w="992" w:type="dxa"/>
            <w:tcBorders>
              <w:top w:val="single" w:sz="2" w:space="0" w:color="000000"/>
              <w:bottom w:val="single" w:sz="2" w:space="0" w:color="A6A6A6"/>
            </w:tcBorders>
            <w:shd w:val="clear" w:color="auto" w:fill="auto"/>
          </w:tcPr>
          <w:p w:rsidR="0052286D" w:rsidRPr="00E97CE7" w:rsidRDefault="0052286D" w:rsidP="00706C0B">
            <w:pPr>
              <w:rPr>
                <w:rFonts w:ascii="Calibri" w:hAnsi="Calibri"/>
                <w:b/>
                <w:color w:val="auto"/>
                <w:sz w:val="18"/>
                <w:szCs w:val="18"/>
              </w:rPr>
            </w:pPr>
            <w:r w:rsidRPr="00E97CE7">
              <w:rPr>
                <w:rFonts w:ascii="Calibri" w:hAnsi="Calibri"/>
                <w:b/>
                <w:color w:val="auto"/>
                <w:sz w:val="18"/>
                <w:szCs w:val="18"/>
              </w:rPr>
              <w:t>LactMed</w:t>
            </w:r>
          </w:p>
        </w:tc>
        <w:tc>
          <w:tcPr>
            <w:tcW w:w="7348" w:type="dxa"/>
            <w:tcBorders>
              <w:top w:val="single" w:sz="2" w:space="0" w:color="000000"/>
              <w:bottom w:val="single" w:sz="2" w:space="0" w:color="A6A6A6"/>
            </w:tcBorders>
            <w:shd w:val="clear" w:color="auto" w:fill="auto"/>
          </w:tcPr>
          <w:p w:rsidR="0052286D" w:rsidRPr="009C2A96" w:rsidRDefault="00E15B65" w:rsidP="00E15B65">
            <w:pPr>
              <w:rPr>
                <w:rFonts w:asciiTheme="minorHAnsi" w:hAnsiTheme="minorHAnsi"/>
                <w:b/>
                <w:color w:val="000000" w:themeColor="text1"/>
                <w:sz w:val="18"/>
                <w:szCs w:val="18"/>
              </w:rPr>
            </w:pPr>
            <w:r w:rsidRPr="009C2A96">
              <w:rPr>
                <w:rFonts w:asciiTheme="minorHAnsi" w:hAnsiTheme="minorHAnsi"/>
                <w:color w:val="000000" w:themeColor="text1"/>
                <w:sz w:val="18"/>
                <w:szCs w:val="18"/>
                <w:lang w:val="en"/>
              </w:rPr>
              <w:t xml:space="preserve">Because of </w:t>
            </w:r>
            <w:r w:rsidRPr="009C2A96">
              <w:rPr>
                <w:rStyle w:val="Strong"/>
                <w:rFonts w:asciiTheme="minorHAnsi" w:hAnsiTheme="minorHAnsi"/>
                <w:b w:val="0"/>
                <w:color w:val="000000" w:themeColor="text1"/>
                <w:sz w:val="18"/>
                <w:szCs w:val="18"/>
                <w:lang w:val="en"/>
              </w:rPr>
              <w:t>atenolol</w:t>
            </w:r>
            <w:r w:rsidRPr="009C2A96">
              <w:rPr>
                <w:rFonts w:asciiTheme="minorHAnsi" w:hAnsiTheme="minorHAnsi"/>
                <w:b/>
                <w:color w:val="000000" w:themeColor="text1"/>
                <w:sz w:val="18"/>
                <w:szCs w:val="18"/>
                <w:lang w:val="en"/>
              </w:rPr>
              <w:t>'</w:t>
            </w:r>
            <w:r w:rsidRPr="009C2A96">
              <w:rPr>
                <w:rFonts w:asciiTheme="minorHAnsi" w:hAnsiTheme="minorHAnsi"/>
                <w:color w:val="000000" w:themeColor="text1"/>
                <w:sz w:val="18"/>
                <w:szCs w:val="18"/>
                <w:lang w:val="en"/>
              </w:rPr>
              <w:t xml:space="preserve">s relatively extensive excretion into breastmilk and its extensive renal excretion, other agents may be preferred while nursing a newborn or preterm infant or with high maternal dosages. Infants older than 3 months of age appear to be at little risk of adverse effects from </w:t>
            </w:r>
            <w:r w:rsidRPr="009C2A96">
              <w:rPr>
                <w:rStyle w:val="Strong"/>
                <w:rFonts w:asciiTheme="minorHAnsi" w:hAnsiTheme="minorHAnsi"/>
                <w:b w:val="0"/>
                <w:color w:val="000000" w:themeColor="text1"/>
                <w:sz w:val="18"/>
                <w:szCs w:val="18"/>
                <w:lang w:val="en"/>
              </w:rPr>
              <w:t>atenolol</w:t>
            </w:r>
            <w:r w:rsidRPr="009C2A96">
              <w:rPr>
                <w:rFonts w:asciiTheme="minorHAnsi" w:hAnsiTheme="minorHAnsi"/>
                <w:color w:val="000000" w:themeColor="text1"/>
                <w:sz w:val="18"/>
                <w:szCs w:val="18"/>
                <w:lang w:val="en"/>
              </w:rPr>
              <w:t xml:space="preserve"> in breastmilk. Timing breastfeeding with respect to the time of the </w:t>
            </w:r>
            <w:r w:rsidRPr="009C2A96">
              <w:rPr>
                <w:rStyle w:val="Strong"/>
                <w:rFonts w:asciiTheme="minorHAnsi" w:hAnsiTheme="minorHAnsi"/>
                <w:b w:val="0"/>
                <w:color w:val="000000" w:themeColor="text1"/>
                <w:sz w:val="18"/>
                <w:szCs w:val="18"/>
                <w:lang w:val="en"/>
              </w:rPr>
              <w:t>atenolol</w:t>
            </w:r>
            <w:r w:rsidRPr="009C2A96">
              <w:rPr>
                <w:rFonts w:asciiTheme="minorHAnsi" w:hAnsiTheme="minorHAnsi"/>
                <w:color w:val="000000" w:themeColor="text1"/>
                <w:sz w:val="18"/>
                <w:szCs w:val="18"/>
                <w:lang w:val="en"/>
              </w:rPr>
              <w:t xml:space="preserve"> dose </w:t>
            </w:r>
            <w:r w:rsidRPr="009C2A96">
              <w:rPr>
                <w:rFonts w:asciiTheme="minorHAnsi" w:hAnsiTheme="minorHAnsi"/>
                <w:color w:val="000000" w:themeColor="text1"/>
                <w:sz w:val="18"/>
                <w:szCs w:val="18"/>
                <w:lang w:val="en"/>
              </w:rPr>
              <w:lastRenderedPageBreak/>
              <w:t xml:space="preserve">appears to be of little benefit in reducing infant </w:t>
            </w:r>
            <w:r w:rsidRPr="009C2A96">
              <w:rPr>
                <w:rStyle w:val="Strong"/>
                <w:rFonts w:asciiTheme="minorHAnsi" w:hAnsiTheme="minorHAnsi"/>
                <w:b w:val="0"/>
                <w:color w:val="000000" w:themeColor="text1"/>
                <w:sz w:val="18"/>
                <w:szCs w:val="18"/>
                <w:lang w:val="en"/>
              </w:rPr>
              <w:t>atenolol</w:t>
            </w:r>
            <w:r w:rsidRPr="009C2A96">
              <w:rPr>
                <w:rFonts w:asciiTheme="minorHAnsi" w:hAnsiTheme="minorHAnsi"/>
                <w:color w:val="000000" w:themeColor="text1"/>
                <w:sz w:val="18"/>
                <w:szCs w:val="18"/>
                <w:lang w:val="en"/>
              </w:rPr>
              <w:t xml:space="preserve"> exposure because the time of the peak is unpredictable</w:t>
            </w:r>
          </w:p>
        </w:tc>
      </w:tr>
      <w:tr w:rsidR="0052286D" w:rsidRPr="00E97CE7" w:rsidTr="00776059">
        <w:tc>
          <w:tcPr>
            <w:tcW w:w="1986" w:type="dxa"/>
            <w:vMerge/>
            <w:tcBorders>
              <w:top w:val="single" w:sz="2" w:space="0" w:color="A6A6A6"/>
              <w:bottom w:val="single" w:sz="2" w:space="0" w:color="A6A6A6"/>
            </w:tcBorders>
            <w:shd w:val="clear" w:color="auto" w:fill="auto"/>
          </w:tcPr>
          <w:p w:rsidR="0052286D" w:rsidRPr="00E97CE7" w:rsidRDefault="0052286D" w:rsidP="00706C0B">
            <w:pPr>
              <w:spacing w:after="120"/>
              <w:rPr>
                <w:b/>
                <w:color w:val="auto"/>
              </w:rPr>
            </w:pPr>
          </w:p>
        </w:tc>
        <w:tc>
          <w:tcPr>
            <w:tcW w:w="992" w:type="dxa"/>
            <w:tcBorders>
              <w:top w:val="single" w:sz="2" w:space="0" w:color="A6A6A6"/>
              <w:bottom w:val="single" w:sz="2" w:space="0" w:color="A6A6A6"/>
            </w:tcBorders>
            <w:shd w:val="clear" w:color="auto" w:fill="auto"/>
          </w:tcPr>
          <w:p w:rsidR="0052286D" w:rsidRPr="00E97CE7" w:rsidRDefault="0052286D" w:rsidP="00706C0B">
            <w:pPr>
              <w:rPr>
                <w:rFonts w:ascii="Calibri" w:hAnsi="Calibri"/>
                <w:b/>
                <w:color w:val="auto"/>
                <w:sz w:val="18"/>
                <w:szCs w:val="18"/>
              </w:rPr>
            </w:pPr>
            <w:r w:rsidRPr="00E97CE7">
              <w:rPr>
                <w:rFonts w:ascii="Calibri" w:hAnsi="Calibri"/>
                <w:b/>
                <w:color w:val="auto"/>
                <w:sz w:val="18"/>
                <w:szCs w:val="18"/>
              </w:rPr>
              <w:t>Hale</w:t>
            </w:r>
          </w:p>
        </w:tc>
        <w:tc>
          <w:tcPr>
            <w:tcW w:w="7348" w:type="dxa"/>
            <w:tcBorders>
              <w:top w:val="single" w:sz="2" w:space="0" w:color="A6A6A6"/>
              <w:bottom w:val="single" w:sz="2" w:space="0" w:color="A6A6A6"/>
            </w:tcBorders>
            <w:shd w:val="clear" w:color="auto" w:fill="auto"/>
          </w:tcPr>
          <w:p w:rsidR="0052286D" w:rsidRPr="009C2A96" w:rsidRDefault="00142D40" w:rsidP="003F204B">
            <w:pPr>
              <w:rPr>
                <w:rFonts w:asciiTheme="minorHAnsi" w:hAnsiTheme="minorHAnsi"/>
                <w:b/>
                <w:color w:val="000000" w:themeColor="text1"/>
                <w:sz w:val="18"/>
                <w:szCs w:val="18"/>
              </w:rPr>
            </w:pPr>
            <w:r w:rsidRPr="009C2A96">
              <w:rPr>
                <w:rFonts w:asciiTheme="minorHAnsi" w:hAnsiTheme="minorHAnsi"/>
                <w:color w:val="000000" w:themeColor="text1"/>
                <w:sz w:val="18"/>
                <w:szCs w:val="18"/>
              </w:rPr>
              <w:t xml:space="preserve">Data conflict on the secretion of atenolol into breastmilk. One author reports an incident of significant bradycardia, cyanosis, low body temperature, and low blood pressure in breastfeeding infant of mother consuming 100 mg atenolol daily while a number of others have failed to detect plasma levels in the neonate or untoward side effects. Data seem to indicate that atenolol secretion into breastmilk is highly variable but may be as high as </w:t>
            </w:r>
            <w:proofErr w:type="gramStart"/>
            <w:r w:rsidRPr="009C2A96">
              <w:rPr>
                <w:rFonts w:asciiTheme="minorHAnsi" w:hAnsiTheme="minorHAnsi"/>
                <w:color w:val="000000" w:themeColor="text1"/>
                <w:sz w:val="18"/>
                <w:szCs w:val="18"/>
              </w:rPr>
              <w:t>10</w:t>
            </w:r>
            <w:r w:rsidR="003F204B" w:rsidRPr="009C2A96">
              <w:rPr>
                <w:rFonts w:asciiTheme="minorHAnsi" w:hAnsiTheme="minorHAnsi"/>
                <w:color w:val="000000" w:themeColor="text1"/>
                <w:sz w:val="18"/>
                <w:szCs w:val="18"/>
              </w:rPr>
              <w:t>x</w:t>
            </w:r>
            <w:proofErr w:type="gramEnd"/>
            <w:r w:rsidRPr="009C2A96">
              <w:rPr>
                <w:rFonts w:asciiTheme="minorHAnsi" w:hAnsiTheme="minorHAnsi"/>
                <w:color w:val="000000" w:themeColor="text1"/>
                <w:sz w:val="18"/>
                <w:szCs w:val="18"/>
              </w:rPr>
              <w:t xml:space="preserve"> greater than for propranolol. In one study, women taking 50-100 mg/day were found to have </w:t>
            </w:r>
            <w:r w:rsidR="003F204B" w:rsidRPr="009C2A96">
              <w:rPr>
                <w:rFonts w:asciiTheme="minorHAnsi" w:hAnsiTheme="minorHAnsi"/>
                <w:color w:val="000000" w:themeColor="text1"/>
                <w:sz w:val="18"/>
                <w:szCs w:val="18"/>
              </w:rPr>
              <w:t>M/P</w:t>
            </w:r>
            <w:r w:rsidRPr="009C2A96">
              <w:rPr>
                <w:rFonts w:asciiTheme="minorHAnsi" w:hAnsiTheme="minorHAnsi"/>
                <w:color w:val="000000" w:themeColor="text1"/>
                <w:sz w:val="18"/>
                <w:szCs w:val="18"/>
              </w:rPr>
              <w:t xml:space="preserve"> of 1.5-6.8. However, even with high M/P ratios, the calculated intake per day (at peak levels) for a breastfeeding infant would only be 0.13 mg. In a study by White et al, breastmilk levels in one patient were 0.7, 1.2 and 1.8 mg/L of milk at doses of 25, 50 and 100 mg daily respectively. In another study, the estimated daily intake for an infant receiving 500 mL</w:t>
            </w:r>
            <w:r w:rsidR="003F204B" w:rsidRPr="009C2A96">
              <w:rPr>
                <w:rFonts w:asciiTheme="minorHAnsi" w:hAnsiTheme="minorHAnsi"/>
                <w:color w:val="000000" w:themeColor="text1"/>
                <w:sz w:val="18"/>
                <w:szCs w:val="18"/>
              </w:rPr>
              <w:t>/</w:t>
            </w:r>
            <w:proofErr w:type="gramStart"/>
            <w:r w:rsidR="003F204B" w:rsidRPr="009C2A96">
              <w:rPr>
                <w:rFonts w:asciiTheme="minorHAnsi" w:hAnsiTheme="minorHAnsi"/>
                <w:color w:val="000000" w:themeColor="text1"/>
                <w:sz w:val="18"/>
                <w:szCs w:val="18"/>
              </w:rPr>
              <w:t>day,</w:t>
            </w:r>
            <w:proofErr w:type="gramEnd"/>
            <w:r w:rsidR="003F204B" w:rsidRPr="009C2A96">
              <w:rPr>
                <w:rFonts w:asciiTheme="minorHAnsi" w:hAnsiTheme="minorHAnsi"/>
                <w:color w:val="000000" w:themeColor="text1"/>
                <w:sz w:val="18"/>
                <w:szCs w:val="18"/>
              </w:rPr>
              <w:t xml:space="preserve"> would be 0.3 mg. In these 5</w:t>
            </w:r>
            <w:r w:rsidRPr="009C2A96">
              <w:rPr>
                <w:rFonts w:asciiTheme="minorHAnsi" w:hAnsiTheme="minorHAnsi"/>
                <w:color w:val="000000" w:themeColor="text1"/>
                <w:sz w:val="18"/>
                <w:szCs w:val="18"/>
              </w:rPr>
              <w:t xml:space="preserve"> patients who received 100 mg daily, the mean milk concentration of atenolol was </w:t>
            </w:r>
            <w:proofErr w:type="gramStart"/>
            <w:r w:rsidRPr="009C2A96">
              <w:rPr>
                <w:rFonts w:asciiTheme="minorHAnsi" w:hAnsiTheme="minorHAnsi"/>
                <w:color w:val="000000" w:themeColor="text1"/>
                <w:sz w:val="18"/>
                <w:szCs w:val="18"/>
              </w:rPr>
              <w:t>630 µg/L.</w:t>
            </w:r>
            <w:proofErr w:type="gramEnd"/>
            <w:r w:rsidRPr="009C2A96">
              <w:rPr>
                <w:rFonts w:asciiTheme="minorHAnsi" w:hAnsiTheme="minorHAnsi"/>
                <w:color w:val="000000" w:themeColor="text1"/>
                <w:sz w:val="18"/>
                <w:szCs w:val="18"/>
              </w:rPr>
              <w:t xml:space="preserve"> In another study, the amount transferred into milk varied from 0.66 mg/L with a maternal dose of 25 mg, 1.2 mg/L with a maternal dose of 50 mg, and 1.7 mg/L with a maternal dose of 100 mg per day. </w:t>
            </w:r>
            <w:r w:rsidR="009C2A96" w:rsidRPr="009C2A96">
              <w:rPr>
                <w:rFonts w:asciiTheme="minorHAnsi" w:hAnsiTheme="minorHAnsi"/>
                <w:color w:val="000000" w:themeColor="text1"/>
                <w:sz w:val="18"/>
                <w:szCs w:val="18"/>
              </w:rPr>
              <w:t>T</w:t>
            </w:r>
            <w:r w:rsidR="009C2A96" w:rsidRPr="009C2A96">
              <w:rPr>
                <w:rFonts w:asciiTheme="minorHAnsi" w:hAnsiTheme="minorHAnsi"/>
                <w:b/>
                <w:color w:val="auto"/>
                <w:sz w:val="18"/>
                <w:szCs w:val="18"/>
              </w:rPr>
              <w:t xml:space="preserve">½ </w:t>
            </w:r>
            <w:r w:rsidRPr="009C2A96">
              <w:rPr>
                <w:rFonts w:asciiTheme="minorHAnsi" w:hAnsiTheme="minorHAnsi"/>
                <w:color w:val="000000" w:themeColor="text1"/>
                <w:sz w:val="18"/>
                <w:szCs w:val="18"/>
              </w:rPr>
              <w:t xml:space="preserve">6-7h. M/P 1.5-7/ PB 6-16%. Oral 50-60% </w:t>
            </w:r>
            <w:proofErr w:type="spellStart"/>
            <w:r w:rsidRPr="009C2A96">
              <w:rPr>
                <w:rFonts w:asciiTheme="minorHAnsi" w:hAnsiTheme="minorHAnsi"/>
                <w:color w:val="000000" w:themeColor="text1"/>
                <w:sz w:val="18"/>
                <w:szCs w:val="18"/>
              </w:rPr>
              <w:t>pKa</w:t>
            </w:r>
            <w:proofErr w:type="spellEnd"/>
            <w:r w:rsidRPr="009C2A96">
              <w:rPr>
                <w:rFonts w:asciiTheme="minorHAnsi" w:hAnsiTheme="minorHAnsi"/>
                <w:color w:val="000000" w:themeColor="text1"/>
                <w:sz w:val="18"/>
                <w:szCs w:val="18"/>
              </w:rPr>
              <w:t xml:space="preserve"> 9.6. Cat L3 - Limited Data-Probably Compatible</w:t>
            </w:r>
          </w:p>
        </w:tc>
      </w:tr>
      <w:tr w:rsidR="0052286D" w:rsidRPr="00E97CE7" w:rsidTr="00776059">
        <w:tc>
          <w:tcPr>
            <w:tcW w:w="1986" w:type="dxa"/>
            <w:vMerge/>
            <w:tcBorders>
              <w:top w:val="single" w:sz="2" w:space="0" w:color="A6A6A6"/>
              <w:bottom w:val="single" w:sz="2" w:space="0" w:color="A6A6A6"/>
            </w:tcBorders>
            <w:shd w:val="clear" w:color="auto" w:fill="auto"/>
          </w:tcPr>
          <w:p w:rsidR="0052286D" w:rsidRPr="00E97CE7" w:rsidRDefault="0052286D" w:rsidP="00706C0B">
            <w:pPr>
              <w:spacing w:after="120"/>
              <w:rPr>
                <w:b/>
                <w:color w:val="auto"/>
              </w:rPr>
            </w:pPr>
          </w:p>
        </w:tc>
        <w:tc>
          <w:tcPr>
            <w:tcW w:w="992" w:type="dxa"/>
            <w:tcBorders>
              <w:top w:val="single" w:sz="2" w:space="0" w:color="A6A6A6"/>
              <w:bottom w:val="single" w:sz="2" w:space="0" w:color="A6A6A6"/>
            </w:tcBorders>
            <w:shd w:val="clear" w:color="auto" w:fill="auto"/>
          </w:tcPr>
          <w:p w:rsidR="0052286D" w:rsidRPr="00E97CE7" w:rsidRDefault="0052286D" w:rsidP="00706C0B">
            <w:pPr>
              <w:rPr>
                <w:rFonts w:ascii="Calibri" w:hAnsi="Calibri"/>
                <w:b/>
                <w:color w:val="auto"/>
                <w:sz w:val="18"/>
                <w:szCs w:val="18"/>
              </w:rPr>
            </w:pPr>
            <w:r w:rsidRPr="00E97CE7">
              <w:rPr>
                <w:rFonts w:ascii="Calibri" w:hAnsi="Calibri"/>
                <w:b/>
                <w:color w:val="auto"/>
                <w:sz w:val="18"/>
                <w:szCs w:val="18"/>
              </w:rPr>
              <w:t>Briggs</w:t>
            </w:r>
          </w:p>
        </w:tc>
        <w:tc>
          <w:tcPr>
            <w:tcW w:w="7348" w:type="dxa"/>
            <w:tcBorders>
              <w:top w:val="single" w:sz="2" w:space="0" w:color="A6A6A6"/>
              <w:bottom w:val="single" w:sz="2" w:space="0" w:color="A6A6A6"/>
            </w:tcBorders>
            <w:shd w:val="clear" w:color="auto" w:fill="auto"/>
          </w:tcPr>
          <w:p w:rsidR="0052286D" w:rsidRPr="009C2A96" w:rsidRDefault="00D40808" w:rsidP="00E35D7E">
            <w:pPr>
              <w:rPr>
                <w:rFonts w:asciiTheme="minorHAnsi" w:hAnsiTheme="minorHAnsi"/>
                <w:color w:val="000000" w:themeColor="text1"/>
                <w:sz w:val="18"/>
                <w:szCs w:val="18"/>
              </w:rPr>
            </w:pPr>
            <w:r w:rsidRPr="009C2A96">
              <w:rPr>
                <w:rFonts w:asciiTheme="minorHAnsi" w:hAnsiTheme="minorHAnsi"/>
                <w:sz w:val="18"/>
                <w:szCs w:val="18"/>
              </w:rPr>
              <w:t>Limited Human Data—Potential Toxicity</w:t>
            </w:r>
          </w:p>
        </w:tc>
      </w:tr>
      <w:tr w:rsidR="0052286D" w:rsidRPr="00E97CE7" w:rsidTr="00776059">
        <w:tc>
          <w:tcPr>
            <w:tcW w:w="1986" w:type="dxa"/>
            <w:vMerge/>
            <w:tcBorders>
              <w:top w:val="single" w:sz="2" w:space="0" w:color="A6A6A6"/>
              <w:bottom w:val="single" w:sz="2" w:space="0" w:color="000000"/>
            </w:tcBorders>
            <w:shd w:val="clear" w:color="auto" w:fill="auto"/>
          </w:tcPr>
          <w:p w:rsidR="0052286D" w:rsidRPr="00E97CE7" w:rsidRDefault="0052286D" w:rsidP="00706C0B">
            <w:pPr>
              <w:spacing w:after="120"/>
              <w:rPr>
                <w:b/>
                <w:color w:val="auto"/>
              </w:rPr>
            </w:pPr>
          </w:p>
        </w:tc>
        <w:tc>
          <w:tcPr>
            <w:tcW w:w="992" w:type="dxa"/>
            <w:tcBorders>
              <w:top w:val="single" w:sz="2" w:space="0" w:color="A6A6A6"/>
              <w:bottom w:val="single" w:sz="2" w:space="0" w:color="000000"/>
            </w:tcBorders>
            <w:shd w:val="clear" w:color="auto" w:fill="auto"/>
          </w:tcPr>
          <w:p w:rsidR="0052286D" w:rsidRPr="00E97CE7" w:rsidRDefault="0052286D" w:rsidP="00706C0B">
            <w:pPr>
              <w:rPr>
                <w:rFonts w:ascii="Calibri" w:hAnsi="Calibri"/>
                <w:b/>
                <w:color w:val="auto"/>
                <w:sz w:val="18"/>
                <w:szCs w:val="18"/>
              </w:rPr>
            </w:pPr>
          </w:p>
        </w:tc>
        <w:tc>
          <w:tcPr>
            <w:tcW w:w="7348" w:type="dxa"/>
            <w:tcBorders>
              <w:top w:val="single" w:sz="2" w:space="0" w:color="A6A6A6"/>
              <w:bottom w:val="single" w:sz="2" w:space="0" w:color="000000"/>
            </w:tcBorders>
            <w:shd w:val="clear" w:color="auto" w:fill="auto"/>
          </w:tcPr>
          <w:p w:rsidR="0052286D" w:rsidRPr="009C2A96" w:rsidRDefault="0052286D" w:rsidP="00706C0B">
            <w:pPr>
              <w:rPr>
                <w:rFonts w:asciiTheme="minorHAnsi" w:hAnsiTheme="minorHAnsi"/>
                <w:color w:val="000000" w:themeColor="text1"/>
                <w:sz w:val="18"/>
                <w:szCs w:val="18"/>
              </w:rPr>
            </w:pPr>
          </w:p>
        </w:tc>
      </w:tr>
      <w:tr w:rsidR="0052286D" w:rsidRPr="00E97CE7" w:rsidTr="003D23D7">
        <w:tc>
          <w:tcPr>
            <w:tcW w:w="1986" w:type="dxa"/>
            <w:vMerge w:val="restart"/>
            <w:tcBorders>
              <w:top w:val="single" w:sz="2" w:space="0" w:color="A6A6A6"/>
            </w:tcBorders>
            <w:shd w:val="clear" w:color="auto" w:fill="auto"/>
          </w:tcPr>
          <w:p w:rsidR="0052286D" w:rsidRPr="0052286D" w:rsidRDefault="00E70375" w:rsidP="0052286D">
            <w:r>
              <w:rPr>
                <w:b/>
                <w:color w:val="auto"/>
              </w:rPr>
              <w:t>Bisoprolol</w:t>
            </w:r>
          </w:p>
        </w:tc>
        <w:tc>
          <w:tcPr>
            <w:tcW w:w="992" w:type="dxa"/>
            <w:shd w:val="clear" w:color="auto" w:fill="auto"/>
          </w:tcPr>
          <w:p w:rsidR="0052286D" w:rsidRPr="00E97CE7" w:rsidRDefault="0052286D" w:rsidP="003D23D7">
            <w:pPr>
              <w:rPr>
                <w:rFonts w:ascii="Calibri" w:hAnsi="Calibri"/>
                <w:b/>
                <w:color w:val="auto"/>
                <w:sz w:val="18"/>
                <w:szCs w:val="18"/>
              </w:rPr>
            </w:pPr>
            <w:r w:rsidRPr="00E97CE7">
              <w:rPr>
                <w:rFonts w:ascii="Calibri" w:hAnsi="Calibri"/>
                <w:b/>
                <w:color w:val="auto"/>
                <w:sz w:val="18"/>
                <w:szCs w:val="18"/>
              </w:rPr>
              <w:t>LactMed</w:t>
            </w:r>
          </w:p>
        </w:tc>
        <w:tc>
          <w:tcPr>
            <w:tcW w:w="7348" w:type="dxa"/>
            <w:shd w:val="clear" w:color="auto" w:fill="auto"/>
          </w:tcPr>
          <w:p w:rsidR="0052286D" w:rsidRPr="009C2A96" w:rsidRDefault="00F84473" w:rsidP="003D23D7">
            <w:pPr>
              <w:rPr>
                <w:rFonts w:asciiTheme="minorHAnsi" w:hAnsiTheme="minorHAnsi"/>
                <w:color w:val="000000" w:themeColor="text1"/>
                <w:sz w:val="18"/>
                <w:szCs w:val="18"/>
              </w:rPr>
            </w:pPr>
            <w:r w:rsidRPr="009C2A96">
              <w:rPr>
                <w:rFonts w:asciiTheme="minorHAnsi" w:hAnsiTheme="minorHAnsi"/>
                <w:color w:val="000000" w:themeColor="text1"/>
                <w:sz w:val="18"/>
                <w:szCs w:val="18"/>
                <w:lang w:val="en"/>
              </w:rPr>
              <w:t>Because there is little published experience with bisoprolol during breastfeeding, other agents may be preferred, especially while nursing a newborn or preterm infant.</w:t>
            </w:r>
          </w:p>
        </w:tc>
      </w:tr>
      <w:tr w:rsidR="0052286D" w:rsidRPr="00E97CE7" w:rsidTr="003D23D7">
        <w:tc>
          <w:tcPr>
            <w:tcW w:w="1986" w:type="dxa"/>
            <w:vMerge/>
            <w:shd w:val="clear" w:color="auto" w:fill="auto"/>
          </w:tcPr>
          <w:p w:rsidR="0052286D" w:rsidRPr="00E97CE7" w:rsidRDefault="0052286D" w:rsidP="003D23D7">
            <w:pPr>
              <w:spacing w:after="120"/>
              <w:rPr>
                <w:b/>
                <w:color w:val="auto"/>
              </w:rPr>
            </w:pPr>
          </w:p>
        </w:tc>
        <w:tc>
          <w:tcPr>
            <w:tcW w:w="992" w:type="dxa"/>
            <w:shd w:val="clear" w:color="auto" w:fill="auto"/>
          </w:tcPr>
          <w:p w:rsidR="0052286D" w:rsidRPr="00E97CE7" w:rsidRDefault="0052286D" w:rsidP="003D23D7">
            <w:pPr>
              <w:rPr>
                <w:rFonts w:ascii="Calibri" w:hAnsi="Calibri"/>
                <w:b/>
                <w:color w:val="auto"/>
                <w:sz w:val="18"/>
                <w:szCs w:val="18"/>
              </w:rPr>
            </w:pPr>
            <w:r w:rsidRPr="00E97CE7">
              <w:rPr>
                <w:rFonts w:ascii="Calibri" w:hAnsi="Calibri"/>
                <w:b/>
                <w:color w:val="auto"/>
                <w:sz w:val="18"/>
                <w:szCs w:val="18"/>
              </w:rPr>
              <w:t>Hale</w:t>
            </w:r>
          </w:p>
        </w:tc>
        <w:tc>
          <w:tcPr>
            <w:tcW w:w="7348" w:type="dxa"/>
            <w:shd w:val="clear" w:color="auto" w:fill="auto"/>
          </w:tcPr>
          <w:p w:rsidR="0052286D" w:rsidRPr="009C2A96" w:rsidRDefault="00925BB6" w:rsidP="003F204B">
            <w:pPr>
              <w:rPr>
                <w:rFonts w:asciiTheme="minorHAnsi" w:hAnsiTheme="minorHAnsi"/>
                <w:color w:val="000000" w:themeColor="text1"/>
                <w:sz w:val="18"/>
                <w:szCs w:val="18"/>
              </w:rPr>
            </w:pPr>
            <w:r w:rsidRPr="009C2A96">
              <w:rPr>
                <w:rFonts w:asciiTheme="minorHAnsi" w:hAnsiTheme="minorHAnsi"/>
                <w:color w:val="000000" w:themeColor="text1"/>
                <w:sz w:val="18"/>
                <w:szCs w:val="18"/>
              </w:rPr>
              <w:t>In one case report a woman was started on bisoprolol 5 mg on</w:t>
            </w:r>
            <w:r w:rsidR="003F204B" w:rsidRPr="009C2A96">
              <w:rPr>
                <w:rFonts w:asciiTheme="minorHAnsi" w:hAnsiTheme="minorHAnsi"/>
                <w:color w:val="000000" w:themeColor="text1"/>
                <w:sz w:val="18"/>
                <w:szCs w:val="18"/>
              </w:rPr>
              <w:t xml:space="preserve">ce daily 6 days postpartum. </w:t>
            </w:r>
            <w:r w:rsidRPr="009C2A96">
              <w:rPr>
                <w:rFonts w:asciiTheme="minorHAnsi" w:hAnsiTheme="minorHAnsi"/>
                <w:color w:val="000000" w:themeColor="text1"/>
                <w:sz w:val="18"/>
                <w:szCs w:val="18"/>
              </w:rPr>
              <w:t xml:space="preserve">She provided milk samples taken between 11 and 18 days after bisoprolol was initiated and they were undetectable. </w:t>
            </w:r>
            <w:r w:rsidR="003F204B" w:rsidRPr="009C2A96">
              <w:rPr>
                <w:rFonts w:asciiTheme="minorHAnsi" w:hAnsiTheme="minorHAnsi"/>
                <w:color w:val="000000" w:themeColor="text1"/>
                <w:sz w:val="18"/>
                <w:szCs w:val="18"/>
              </w:rPr>
              <w:t>T</w:t>
            </w:r>
            <w:r w:rsidRPr="009C2A96">
              <w:rPr>
                <w:rFonts w:asciiTheme="minorHAnsi" w:hAnsiTheme="minorHAnsi"/>
                <w:color w:val="000000" w:themeColor="text1"/>
                <w:sz w:val="18"/>
                <w:szCs w:val="18"/>
              </w:rPr>
              <w:t xml:space="preserve">he infant was not given any maternal breastmilk, thus no infant safety data is available. </w:t>
            </w:r>
            <w:r w:rsidR="009C2A96" w:rsidRPr="009C2A96">
              <w:rPr>
                <w:rFonts w:asciiTheme="minorHAnsi" w:hAnsiTheme="minorHAnsi"/>
                <w:color w:val="000000" w:themeColor="text1"/>
                <w:sz w:val="18"/>
                <w:szCs w:val="18"/>
              </w:rPr>
              <w:t>T</w:t>
            </w:r>
            <w:r w:rsidR="009C2A96" w:rsidRPr="009C2A96">
              <w:rPr>
                <w:rFonts w:asciiTheme="minorHAnsi" w:hAnsiTheme="minorHAnsi"/>
                <w:b/>
                <w:color w:val="auto"/>
                <w:sz w:val="18"/>
                <w:szCs w:val="18"/>
              </w:rPr>
              <w:t xml:space="preserve">½ </w:t>
            </w:r>
            <w:r w:rsidRPr="009C2A96">
              <w:rPr>
                <w:rFonts w:asciiTheme="minorHAnsi" w:hAnsiTheme="minorHAnsi"/>
                <w:color w:val="000000" w:themeColor="text1"/>
                <w:sz w:val="18"/>
                <w:szCs w:val="18"/>
              </w:rPr>
              <w:t>9-12</w:t>
            </w:r>
            <w:r w:rsidR="00142D40" w:rsidRPr="009C2A96">
              <w:rPr>
                <w:rFonts w:asciiTheme="minorHAnsi" w:hAnsiTheme="minorHAnsi"/>
                <w:color w:val="000000" w:themeColor="text1"/>
                <w:sz w:val="18"/>
                <w:szCs w:val="18"/>
              </w:rPr>
              <w:t xml:space="preserve">h. </w:t>
            </w:r>
            <w:r w:rsidRPr="009C2A96">
              <w:rPr>
                <w:rFonts w:asciiTheme="minorHAnsi" w:hAnsiTheme="minorHAnsi"/>
                <w:color w:val="000000" w:themeColor="text1"/>
                <w:sz w:val="18"/>
                <w:szCs w:val="18"/>
              </w:rPr>
              <w:t>PB 30</w:t>
            </w:r>
            <w:r w:rsidR="00142D40" w:rsidRPr="009C2A96">
              <w:rPr>
                <w:rFonts w:asciiTheme="minorHAnsi" w:hAnsiTheme="minorHAnsi"/>
                <w:color w:val="000000" w:themeColor="text1"/>
                <w:sz w:val="18"/>
                <w:szCs w:val="18"/>
              </w:rPr>
              <w:t xml:space="preserve">%. Oral </w:t>
            </w:r>
            <w:r w:rsidRPr="009C2A96">
              <w:rPr>
                <w:rFonts w:asciiTheme="minorHAnsi" w:hAnsiTheme="minorHAnsi"/>
                <w:color w:val="000000" w:themeColor="text1"/>
                <w:sz w:val="18"/>
                <w:szCs w:val="18"/>
              </w:rPr>
              <w:t xml:space="preserve">80% </w:t>
            </w:r>
            <w:proofErr w:type="spellStart"/>
            <w:r w:rsidRPr="009C2A96">
              <w:rPr>
                <w:rFonts w:asciiTheme="minorHAnsi" w:hAnsiTheme="minorHAnsi"/>
                <w:color w:val="000000" w:themeColor="text1"/>
                <w:sz w:val="18"/>
                <w:szCs w:val="18"/>
              </w:rPr>
              <w:t>pKa</w:t>
            </w:r>
            <w:proofErr w:type="spellEnd"/>
            <w:r w:rsidRPr="009C2A96">
              <w:rPr>
                <w:rFonts w:asciiTheme="minorHAnsi" w:hAnsiTheme="minorHAnsi"/>
                <w:color w:val="000000" w:themeColor="text1"/>
                <w:sz w:val="18"/>
                <w:szCs w:val="18"/>
              </w:rPr>
              <w:t xml:space="preserve"> 9.5</w:t>
            </w:r>
            <w:r w:rsidR="00142D40" w:rsidRPr="009C2A96">
              <w:rPr>
                <w:rFonts w:asciiTheme="minorHAnsi" w:hAnsiTheme="minorHAnsi"/>
                <w:color w:val="000000" w:themeColor="text1"/>
                <w:sz w:val="18"/>
                <w:szCs w:val="18"/>
              </w:rPr>
              <w:t>. Cat L3 - Limited Data-Probably Compatible</w:t>
            </w:r>
          </w:p>
        </w:tc>
      </w:tr>
      <w:tr w:rsidR="0052286D" w:rsidRPr="00E97CE7" w:rsidTr="003D23D7">
        <w:tc>
          <w:tcPr>
            <w:tcW w:w="1986" w:type="dxa"/>
            <w:vMerge/>
            <w:shd w:val="clear" w:color="auto" w:fill="auto"/>
          </w:tcPr>
          <w:p w:rsidR="0052286D" w:rsidRPr="00E97CE7" w:rsidRDefault="0052286D" w:rsidP="003D23D7">
            <w:pPr>
              <w:spacing w:after="120"/>
              <w:rPr>
                <w:b/>
                <w:color w:val="auto"/>
              </w:rPr>
            </w:pPr>
          </w:p>
        </w:tc>
        <w:tc>
          <w:tcPr>
            <w:tcW w:w="992" w:type="dxa"/>
            <w:tcBorders>
              <w:bottom w:val="single" w:sz="2" w:space="0" w:color="A6A6A6"/>
            </w:tcBorders>
            <w:shd w:val="clear" w:color="auto" w:fill="auto"/>
          </w:tcPr>
          <w:p w:rsidR="0052286D" w:rsidRPr="00E97CE7" w:rsidRDefault="0052286D" w:rsidP="003D23D7">
            <w:pPr>
              <w:rPr>
                <w:rFonts w:ascii="Calibri" w:hAnsi="Calibri"/>
                <w:b/>
                <w:color w:val="auto"/>
                <w:sz w:val="18"/>
                <w:szCs w:val="18"/>
              </w:rPr>
            </w:pPr>
            <w:r w:rsidRPr="00E97CE7">
              <w:rPr>
                <w:rFonts w:ascii="Calibri" w:hAnsi="Calibri"/>
                <w:b/>
                <w:color w:val="auto"/>
                <w:sz w:val="18"/>
                <w:szCs w:val="18"/>
              </w:rPr>
              <w:t>Briggs</w:t>
            </w:r>
          </w:p>
        </w:tc>
        <w:tc>
          <w:tcPr>
            <w:tcW w:w="7348" w:type="dxa"/>
            <w:tcBorders>
              <w:bottom w:val="single" w:sz="2" w:space="0" w:color="A6A6A6"/>
            </w:tcBorders>
            <w:shd w:val="clear" w:color="auto" w:fill="auto"/>
          </w:tcPr>
          <w:p w:rsidR="0052286D" w:rsidRPr="009C2A96" w:rsidRDefault="00D40808" w:rsidP="003D23D7">
            <w:pPr>
              <w:rPr>
                <w:rFonts w:asciiTheme="minorHAnsi" w:hAnsiTheme="minorHAnsi"/>
                <w:color w:val="000000" w:themeColor="text1"/>
                <w:sz w:val="18"/>
                <w:szCs w:val="18"/>
              </w:rPr>
            </w:pPr>
            <w:r w:rsidRPr="009C2A96">
              <w:rPr>
                <w:rFonts w:asciiTheme="minorHAnsi" w:hAnsiTheme="minorHAnsi"/>
                <w:sz w:val="18"/>
                <w:szCs w:val="18"/>
              </w:rPr>
              <w:t>No Human Data—Potential Toxicity</w:t>
            </w:r>
          </w:p>
        </w:tc>
      </w:tr>
      <w:tr w:rsidR="0052286D" w:rsidRPr="00E97CE7" w:rsidTr="003D23D7">
        <w:tc>
          <w:tcPr>
            <w:tcW w:w="1986" w:type="dxa"/>
            <w:vMerge/>
            <w:shd w:val="clear" w:color="auto" w:fill="auto"/>
          </w:tcPr>
          <w:p w:rsidR="0052286D" w:rsidRPr="00E97CE7" w:rsidRDefault="0052286D" w:rsidP="003D23D7">
            <w:pPr>
              <w:spacing w:after="120"/>
              <w:rPr>
                <w:b/>
                <w:color w:val="auto"/>
              </w:rPr>
            </w:pPr>
          </w:p>
        </w:tc>
        <w:tc>
          <w:tcPr>
            <w:tcW w:w="992" w:type="dxa"/>
            <w:tcBorders>
              <w:top w:val="single" w:sz="2" w:space="0" w:color="A6A6A6"/>
              <w:bottom w:val="single" w:sz="2" w:space="0" w:color="000000"/>
            </w:tcBorders>
            <w:shd w:val="clear" w:color="auto" w:fill="auto"/>
          </w:tcPr>
          <w:p w:rsidR="0052286D" w:rsidRPr="00E97CE7" w:rsidRDefault="0052286D" w:rsidP="003D23D7">
            <w:pPr>
              <w:rPr>
                <w:rFonts w:ascii="Calibri" w:hAnsi="Calibri"/>
                <w:b/>
                <w:color w:val="auto"/>
                <w:sz w:val="18"/>
                <w:szCs w:val="18"/>
              </w:rPr>
            </w:pPr>
            <w:r>
              <w:rPr>
                <w:rFonts w:ascii="Calibri" w:hAnsi="Calibri"/>
                <w:b/>
                <w:color w:val="auto"/>
                <w:sz w:val="18"/>
                <w:szCs w:val="18"/>
              </w:rPr>
              <w:t>SPC</w:t>
            </w:r>
          </w:p>
        </w:tc>
        <w:tc>
          <w:tcPr>
            <w:tcW w:w="7348" w:type="dxa"/>
            <w:tcBorders>
              <w:top w:val="single" w:sz="2" w:space="0" w:color="A6A6A6"/>
              <w:bottom w:val="single" w:sz="2" w:space="0" w:color="000000"/>
            </w:tcBorders>
            <w:shd w:val="clear" w:color="auto" w:fill="auto"/>
          </w:tcPr>
          <w:p w:rsidR="0052286D" w:rsidRPr="009C2A96" w:rsidRDefault="0052286D" w:rsidP="00994955">
            <w:pPr>
              <w:rPr>
                <w:rFonts w:asciiTheme="minorHAnsi" w:hAnsiTheme="minorHAnsi"/>
                <w:b/>
                <w:color w:val="000000" w:themeColor="text1"/>
                <w:sz w:val="18"/>
                <w:szCs w:val="18"/>
              </w:rPr>
            </w:pPr>
          </w:p>
        </w:tc>
      </w:tr>
      <w:tr w:rsidR="0052286D" w:rsidRPr="00E97CE7" w:rsidTr="00776059">
        <w:tc>
          <w:tcPr>
            <w:tcW w:w="1986" w:type="dxa"/>
            <w:vMerge w:val="restart"/>
            <w:tcBorders>
              <w:top w:val="single" w:sz="2" w:space="0" w:color="000000"/>
              <w:bottom w:val="single" w:sz="2" w:space="0" w:color="A6A6A6"/>
            </w:tcBorders>
            <w:shd w:val="clear" w:color="auto" w:fill="auto"/>
          </w:tcPr>
          <w:p w:rsidR="0052286D" w:rsidRPr="0052286D" w:rsidRDefault="00E70375" w:rsidP="0052286D">
            <w:r>
              <w:rPr>
                <w:b/>
                <w:color w:val="auto"/>
              </w:rPr>
              <w:t>Carvedilol</w:t>
            </w:r>
          </w:p>
        </w:tc>
        <w:tc>
          <w:tcPr>
            <w:tcW w:w="992" w:type="dxa"/>
            <w:tcBorders>
              <w:top w:val="single" w:sz="2" w:space="0" w:color="000000"/>
              <w:bottom w:val="single" w:sz="2" w:space="0" w:color="A6A6A6"/>
            </w:tcBorders>
            <w:shd w:val="clear" w:color="auto" w:fill="auto"/>
          </w:tcPr>
          <w:p w:rsidR="0052286D" w:rsidRPr="00E97CE7" w:rsidRDefault="0052286D" w:rsidP="00706C0B">
            <w:pPr>
              <w:rPr>
                <w:rFonts w:ascii="Calibri" w:hAnsi="Calibri"/>
                <w:b/>
                <w:color w:val="auto"/>
                <w:sz w:val="18"/>
                <w:szCs w:val="18"/>
              </w:rPr>
            </w:pPr>
            <w:r w:rsidRPr="00E97CE7">
              <w:rPr>
                <w:rFonts w:ascii="Calibri" w:hAnsi="Calibri"/>
                <w:b/>
                <w:color w:val="auto"/>
                <w:sz w:val="18"/>
                <w:szCs w:val="18"/>
              </w:rPr>
              <w:t>LactMed</w:t>
            </w:r>
          </w:p>
        </w:tc>
        <w:tc>
          <w:tcPr>
            <w:tcW w:w="7348" w:type="dxa"/>
            <w:tcBorders>
              <w:top w:val="single" w:sz="2" w:space="0" w:color="000000"/>
              <w:bottom w:val="single" w:sz="2" w:space="0" w:color="A6A6A6"/>
            </w:tcBorders>
            <w:shd w:val="clear" w:color="auto" w:fill="auto"/>
          </w:tcPr>
          <w:p w:rsidR="0052286D" w:rsidRPr="009C2A96" w:rsidRDefault="00F84473" w:rsidP="00706C0B">
            <w:pPr>
              <w:rPr>
                <w:rFonts w:asciiTheme="minorHAnsi" w:hAnsiTheme="minorHAnsi"/>
                <w:b/>
                <w:color w:val="000000" w:themeColor="text1"/>
                <w:sz w:val="18"/>
                <w:szCs w:val="18"/>
              </w:rPr>
            </w:pPr>
            <w:r w:rsidRPr="009C2A96">
              <w:rPr>
                <w:rFonts w:asciiTheme="minorHAnsi" w:hAnsiTheme="minorHAnsi"/>
                <w:color w:val="000000" w:themeColor="text1"/>
                <w:sz w:val="18"/>
                <w:szCs w:val="18"/>
                <w:lang w:val="en"/>
              </w:rPr>
              <w:t>Based on its physicochemical properties, carvedilol appears to present a low-risk to the breastfed infant. Because there is no published experience with carvedilol during breastfeeding, other agents may be preferred, especially while nursing a newborn or preterm infant.</w:t>
            </w:r>
          </w:p>
        </w:tc>
      </w:tr>
      <w:tr w:rsidR="0052286D" w:rsidRPr="00E97CE7" w:rsidTr="00776059">
        <w:tc>
          <w:tcPr>
            <w:tcW w:w="1986" w:type="dxa"/>
            <w:vMerge/>
            <w:tcBorders>
              <w:top w:val="single" w:sz="2" w:space="0" w:color="A6A6A6"/>
              <w:bottom w:val="single" w:sz="2" w:space="0" w:color="A6A6A6"/>
            </w:tcBorders>
            <w:shd w:val="clear" w:color="auto" w:fill="auto"/>
          </w:tcPr>
          <w:p w:rsidR="0052286D" w:rsidRPr="00E97CE7" w:rsidRDefault="0052286D" w:rsidP="00706C0B">
            <w:pPr>
              <w:spacing w:after="120"/>
              <w:rPr>
                <w:b/>
                <w:color w:val="auto"/>
              </w:rPr>
            </w:pPr>
          </w:p>
        </w:tc>
        <w:tc>
          <w:tcPr>
            <w:tcW w:w="992" w:type="dxa"/>
            <w:tcBorders>
              <w:top w:val="single" w:sz="2" w:space="0" w:color="A6A6A6"/>
              <w:bottom w:val="single" w:sz="2" w:space="0" w:color="A6A6A6"/>
            </w:tcBorders>
            <w:shd w:val="clear" w:color="auto" w:fill="auto"/>
          </w:tcPr>
          <w:p w:rsidR="0052286D" w:rsidRPr="00E97CE7" w:rsidRDefault="0052286D" w:rsidP="00706C0B">
            <w:pPr>
              <w:rPr>
                <w:rFonts w:ascii="Calibri" w:hAnsi="Calibri"/>
                <w:b/>
                <w:color w:val="auto"/>
                <w:sz w:val="18"/>
                <w:szCs w:val="18"/>
              </w:rPr>
            </w:pPr>
            <w:r w:rsidRPr="00E97CE7">
              <w:rPr>
                <w:rFonts w:ascii="Calibri" w:hAnsi="Calibri"/>
                <w:b/>
                <w:color w:val="auto"/>
                <w:sz w:val="18"/>
                <w:szCs w:val="18"/>
              </w:rPr>
              <w:t>Hale</w:t>
            </w:r>
          </w:p>
        </w:tc>
        <w:tc>
          <w:tcPr>
            <w:tcW w:w="7348" w:type="dxa"/>
            <w:tcBorders>
              <w:top w:val="single" w:sz="2" w:space="0" w:color="A6A6A6"/>
              <w:bottom w:val="single" w:sz="2" w:space="0" w:color="A6A6A6"/>
            </w:tcBorders>
            <w:shd w:val="clear" w:color="auto" w:fill="auto"/>
          </w:tcPr>
          <w:p w:rsidR="0052286D" w:rsidRPr="009C2A96" w:rsidRDefault="003F204B" w:rsidP="003F204B">
            <w:pPr>
              <w:rPr>
                <w:rFonts w:asciiTheme="minorHAnsi" w:hAnsiTheme="minorHAnsi"/>
                <w:b/>
                <w:color w:val="000000" w:themeColor="text1"/>
                <w:sz w:val="18"/>
                <w:szCs w:val="18"/>
              </w:rPr>
            </w:pPr>
            <w:r w:rsidRPr="009C2A96">
              <w:rPr>
                <w:rFonts w:asciiTheme="minorHAnsi" w:hAnsiTheme="minorHAnsi"/>
                <w:color w:val="000000" w:themeColor="text1"/>
                <w:sz w:val="18"/>
                <w:szCs w:val="18"/>
              </w:rPr>
              <w:t xml:space="preserve">No data available on the transfer into human milk. However, due to its high lipid solubility, some may transfer. As with any beta-blocker, some caution is recommended until milk levels are reported. </w:t>
            </w:r>
            <w:r w:rsidR="009C2A96" w:rsidRPr="009C2A96">
              <w:rPr>
                <w:rFonts w:asciiTheme="minorHAnsi" w:hAnsiTheme="minorHAnsi"/>
                <w:color w:val="000000" w:themeColor="text1"/>
                <w:sz w:val="18"/>
                <w:szCs w:val="18"/>
              </w:rPr>
              <w:t>T</w:t>
            </w:r>
            <w:r w:rsidR="009C2A96" w:rsidRPr="009C2A96">
              <w:rPr>
                <w:rFonts w:asciiTheme="minorHAnsi" w:hAnsiTheme="minorHAnsi"/>
                <w:b/>
                <w:color w:val="auto"/>
                <w:sz w:val="18"/>
                <w:szCs w:val="18"/>
              </w:rPr>
              <w:t xml:space="preserve">½ </w:t>
            </w:r>
            <w:r w:rsidRPr="009C2A96">
              <w:rPr>
                <w:rFonts w:asciiTheme="minorHAnsi" w:hAnsiTheme="minorHAnsi"/>
                <w:color w:val="000000" w:themeColor="text1"/>
                <w:sz w:val="18"/>
                <w:szCs w:val="18"/>
              </w:rPr>
              <w:t>7-10h. PB &gt;98</w:t>
            </w:r>
            <w:r w:rsidR="00142D40" w:rsidRPr="009C2A96">
              <w:rPr>
                <w:rFonts w:asciiTheme="minorHAnsi" w:hAnsiTheme="minorHAnsi"/>
                <w:color w:val="000000" w:themeColor="text1"/>
                <w:sz w:val="18"/>
                <w:szCs w:val="18"/>
              </w:rPr>
              <w:t xml:space="preserve">%. Oral </w:t>
            </w:r>
            <w:r w:rsidRPr="009C2A96">
              <w:rPr>
                <w:rFonts w:asciiTheme="minorHAnsi" w:hAnsiTheme="minorHAnsi"/>
                <w:color w:val="000000" w:themeColor="text1"/>
                <w:sz w:val="18"/>
                <w:szCs w:val="18"/>
              </w:rPr>
              <w:t xml:space="preserve">25-35% </w:t>
            </w:r>
            <w:proofErr w:type="spellStart"/>
            <w:r w:rsidRPr="009C2A96">
              <w:rPr>
                <w:rFonts w:asciiTheme="minorHAnsi" w:hAnsiTheme="minorHAnsi"/>
                <w:color w:val="000000" w:themeColor="text1"/>
                <w:sz w:val="18"/>
                <w:szCs w:val="18"/>
              </w:rPr>
              <w:t>pKa</w:t>
            </w:r>
            <w:proofErr w:type="spellEnd"/>
            <w:r w:rsidRPr="009C2A96">
              <w:rPr>
                <w:rFonts w:asciiTheme="minorHAnsi" w:hAnsiTheme="minorHAnsi"/>
                <w:color w:val="000000" w:themeColor="text1"/>
                <w:sz w:val="18"/>
                <w:szCs w:val="18"/>
              </w:rPr>
              <w:t xml:space="preserve"> 14</w:t>
            </w:r>
            <w:r w:rsidR="00142D40" w:rsidRPr="009C2A96">
              <w:rPr>
                <w:rFonts w:asciiTheme="minorHAnsi" w:hAnsiTheme="minorHAnsi"/>
                <w:color w:val="000000" w:themeColor="text1"/>
                <w:sz w:val="18"/>
                <w:szCs w:val="18"/>
              </w:rPr>
              <w:t xml:space="preserve">. Cat </w:t>
            </w:r>
            <w:r w:rsidRPr="009C2A96">
              <w:rPr>
                <w:rFonts w:asciiTheme="minorHAnsi" w:hAnsiTheme="minorHAnsi"/>
                <w:color w:val="000000" w:themeColor="text1"/>
                <w:sz w:val="18"/>
                <w:szCs w:val="18"/>
              </w:rPr>
              <w:t>L3 - No Data-Probably Compatible</w:t>
            </w:r>
          </w:p>
        </w:tc>
      </w:tr>
      <w:tr w:rsidR="0052286D" w:rsidRPr="00E97CE7" w:rsidTr="00776059">
        <w:tc>
          <w:tcPr>
            <w:tcW w:w="1986" w:type="dxa"/>
            <w:vMerge/>
            <w:tcBorders>
              <w:top w:val="single" w:sz="2" w:space="0" w:color="A6A6A6"/>
              <w:bottom w:val="single" w:sz="2" w:space="0" w:color="A6A6A6"/>
            </w:tcBorders>
            <w:shd w:val="clear" w:color="auto" w:fill="auto"/>
          </w:tcPr>
          <w:p w:rsidR="0052286D" w:rsidRPr="00E97CE7" w:rsidRDefault="0052286D" w:rsidP="00706C0B">
            <w:pPr>
              <w:spacing w:after="120"/>
              <w:rPr>
                <w:b/>
                <w:color w:val="auto"/>
              </w:rPr>
            </w:pPr>
          </w:p>
        </w:tc>
        <w:tc>
          <w:tcPr>
            <w:tcW w:w="992" w:type="dxa"/>
            <w:tcBorders>
              <w:top w:val="single" w:sz="2" w:space="0" w:color="A6A6A6"/>
              <w:bottom w:val="single" w:sz="2" w:space="0" w:color="A6A6A6"/>
            </w:tcBorders>
            <w:shd w:val="clear" w:color="auto" w:fill="auto"/>
          </w:tcPr>
          <w:p w:rsidR="0052286D" w:rsidRPr="00E97CE7" w:rsidRDefault="0052286D" w:rsidP="00706C0B">
            <w:pPr>
              <w:rPr>
                <w:rFonts w:ascii="Calibri" w:hAnsi="Calibri"/>
                <w:b/>
                <w:color w:val="auto"/>
                <w:sz w:val="18"/>
                <w:szCs w:val="18"/>
              </w:rPr>
            </w:pPr>
            <w:r w:rsidRPr="00E97CE7">
              <w:rPr>
                <w:rFonts w:ascii="Calibri" w:hAnsi="Calibri"/>
                <w:b/>
                <w:color w:val="auto"/>
                <w:sz w:val="18"/>
                <w:szCs w:val="18"/>
              </w:rPr>
              <w:t>Briggs</w:t>
            </w:r>
          </w:p>
        </w:tc>
        <w:tc>
          <w:tcPr>
            <w:tcW w:w="7348" w:type="dxa"/>
            <w:tcBorders>
              <w:top w:val="single" w:sz="2" w:space="0" w:color="A6A6A6"/>
              <w:bottom w:val="single" w:sz="2" w:space="0" w:color="A6A6A6"/>
            </w:tcBorders>
            <w:shd w:val="clear" w:color="auto" w:fill="auto"/>
          </w:tcPr>
          <w:p w:rsidR="0052286D" w:rsidRPr="009C2A96" w:rsidRDefault="00D40808" w:rsidP="00706C0B">
            <w:pPr>
              <w:rPr>
                <w:rFonts w:asciiTheme="minorHAnsi" w:hAnsiTheme="minorHAnsi"/>
                <w:color w:val="000000" w:themeColor="text1"/>
                <w:sz w:val="18"/>
                <w:szCs w:val="18"/>
              </w:rPr>
            </w:pPr>
            <w:r w:rsidRPr="009C2A96">
              <w:rPr>
                <w:rFonts w:asciiTheme="minorHAnsi" w:hAnsiTheme="minorHAnsi"/>
                <w:sz w:val="18"/>
                <w:szCs w:val="18"/>
              </w:rPr>
              <w:t>No Human Data—Probably Compatible</w:t>
            </w:r>
          </w:p>
        </w:tc>
      </w:tr>
      <w:tr w:rsidR="0052286D" w:rsidRPr="00E97CE7" w:rsidTr="00776059">
        <w:tc>
          <w:tcPr>
            <w:tcW w:w="1986" w:type="dxa"/>
            <w:vMerge/>
            <w:tcBorders>
              <w:top w:val="single" w:sz="2" w:space="0" w:color="A6A6A6"/>
              <w:bottom w:val="single" w:sz="2" w:space="0" w:color="000000"/>
            </w:tcBorders>
            <w:shd w:val="clear" w:color="auto" w:fill="auto"/>
          </w:tcPr>
          <w:p w:rsidR="0052286D" w:rsidRPr="00E97CE7" w:rsidRDefault="0052286D" w:rsidP="00706C0B">
            <w:pPr>
              <w:spacing w:after="120"/>
              <w:rPr>
                <w:b/>
                <w:color w:val="auto"/>
              </w:rPr>
            </w:pPr>
          </w:p>
        </w:tc>
        <w:tc>
          <w:tcPr>
            <w:tcW w:w="992" w:type="dxa"/>
            <w:tcBorders>
              <w:top w:val="single" w:sz="2" w:space="0" w:color="A6A6A6"/>
              <w:bottom w:val="single" w:sz="2" w:space="0" w:color="000000"/>
            </w:tcBorders>
            <w:shd w:val="clear" w:color="auto" w:fill="auto"/>
          </w:tcPr>
          <w:p w:rsidR="0052286D" w:rsidRPr="00E97CE7" w:rsidRDefault="0052286D" w:rsidP="00706C0B">
            <w:pPr>
              <w:rPr>
                <w:rFonts w:ascii="Calibri" w:hAnsi="Calibri"/>
                <w:b/>
                <w:color w:val="auto"/>
                <w:sz w:val="18"/>
                <w:szCs w:val="18"/>
              </w:rPr>
            </w:pPr>
          </w:p>
        </w:tc>
        <w:tc>
          <w:tcPr>
            <w:tcW w:w="7348" w:type="dxa"/>
            <w:tcBorders>
              <w:top w:val="single" w:sz="2" w:space="0" w:color="A6A6A6"/>
              <w:bottom w:val="single" w:sz="2" w:space="0" w:color="000000"/>
            </w:tcBorders>
            <w:shd w:val="clear" w:color="auto" w:fill="auto"/>
          </w:tcPr>
          <w:p w:rsidR="0052286D" w:rsidRPr="009C2A96" w:rsidRDefault="0052286D" w:rsidP="00706C0B">
            <w:pPr>
              <w:rPr>
                <w:rFonts w:asciiTheme="minorHAnsi" w:hAnsiTheme="minorHAnsi"/>
                <w:color w:val="000000" w:themeColor="text1"/>
                <w:sz w:val="18"/>
                <w:szCs w:val="18"/>
              </w:rPr>
            </w:pPr>
          </w:p>
        </w:tc>
      </w:tr>
      <w:tr w:rsidR="0052286D" w:rsidRPr="00E97CE7" w:rsidTr="00776059">
        <w:tc>
          <w:tcPr>
            <w:tcW w:w="1986" w:type="dxa"/>
            <w:vMerge w:val="restart"/>
            <w:tcBorders>
              <w:top w:val="single" w:sz="2" w:space="0" w:color="000000"/>
              <w:bottom w:val="single" w:sz="2" w:space="0" w:color="A6A6A6"/>
            </w:tcBorders>
            <w:shd w:val="clear" w:color="auto" w:fill="auto"/>
          </w:tcPr>
          <w:p w:rsidR="0052286D" w:rsidRPr="0052286D" w:rsidRDefault="00E70375" w:rsidP="0052286D">
            <w:r>
              <w:rPr>
                <w:b/>
                <w:color w:val="auto"/>
              </w:rPr>
              <w:t>Celiprolol</w:t>
            </w:r>
          </w:p>
        </w:tc>
        <w:tc>
          <w:tcPr>
            <w:tcW w:w="992" w:type="dxa"/>
            <w:tcBorders>
              <w:top w:val="single" w:sz="2" w:space="0" w:color="000000"/>
              <w:bottom w:val="single" w:sz="2" w:space="0" w:color="A6A6A6"/>
            </w:tcBorders>
            <w:shd w:val="clear" w:color="auto" w:fill="auto"/>
          </w:tcPr>
          <w:p w:rsidR="0052286D" w:rsidRPr="00E97CE7" w:rsidRDefault="0052286D" w:rsidP="00706C0B">
            <w:pPr>
              <w:rPr>
                <w:rFonts w:ascii="Calibri" w:hAnsi="Calibri"/>
                <w:b/>
                <w:color w:val="auto"/>
                <w:sz w:val="18"/>
                <w:szCs w:val="18"/>
              </w:rPr>
            </w:pPr>
            <w:r w:rsidRPr="00E97CE7">
              <w:rPr>
                <w:rFonts w:ascii="Calibri" w:hAnsi="Calibri"/>
                <w:b/>
                <w:color w:val="auto"/>
                <w:sz w:val="18"/>
                <w:szCs w:val="18"/>
              </w:rPr>
              <w:t>LactMed</w:t>
            </w:r>
          </w:p>
        </w:tc>
        <w:tc>
          <w:tcPr>
            <w:tcW w:w="7348" w:type="dxa"/>
            <w:tcBorders>
              <w:top w:val="single" w:sz="2" w:space="0" w:color="000000"/>
              <w:bottom w:val="single" w:sz="2" w:space="0" w:color="A6A6A6"/>
            </w:tcBorders>
            <w:shd w:val="clear" w:color="auto" w:fill="auto"/>
          </w:tcPr>
          <w:p w:rsidR="0052286D" w:rsidRPr="009C2A96" w:rsidRDefault="00F84473" w:rsidP="00706C0B">
            <w:pPr>
              <w:rPr>
                <w:rFonts w:asciiTheme="minorHAnsi" w:hAnsiTheme="minorHAnsi"/>
                <w:color w:val="000000" w:themeColor="text1"/>
                <w:sz w:val="18"/>
                <w:szCs w:val="18"/>
              </w:rPr>
            </w:pPr>
            <w:r w:rsidRPr="009C2A96">
              <w:rPr>
                <w:rFonts w:asciiTheme="minorHAnsi" w:hAnsiTheme="minorHAnsi"/>
                <w:color w:val="000000" w:themeColor="text1"/>
                <w:sz w:val="18"/>
                <w:szCs w:val="18"/>
              </w:rPr>
              <w:t>No entry</w:t>
            </w:r>
          </w:p>
        </w:tc>
      </w:tr>
      <w:tr w:rsidR="0052286D" w:rsidRPr="00E97CE7" w:rsidTr="00776059">
        <w:tc>
          <w:tcPr>
            <w:tcW w:w="1986" w:type="dxa"/>
            <w:vMerge/>
            <w:tcBorders>
              <w:top w:val="single" w:sz="2" w:space="0" w:color="A6A6A6"/>
              <w:bottom w:val="single" w:sz="2" w:space="0" w:color="A6A6A6"/>
            </w:tcBorders>
            <w:shd w:val="clear" w:color="auto" w:fill="auto"/>
          </w:tcPr>
          <w:p w:rsidR="0052286D" w:rsidRPr="00E97CE7" w:rsidRDefault="0052286D" w:rsidP="00706C0B">
            <w:pPr>
              <w:spacing w:after="120"/>
              <w:rPr>
                <w:b/>
                <w:color w:val="auto"/>
              </w:rPr>
            </w:pPr>
          </w:p>
        </w:tc>
        <w:tc>
          <w:tcPr>
            <w:tcW w:w="992" w:type="dxa"/>
            <w:tcBorders>
              <w:top w:val="single" w:sz="2" w:space="0" w:color="A6A6A6"/>
              <w:bottom w:val="single" w:sz="2" w:space="0" w:color="A6A6A6"/>
            </w:tcBorders>
            <w:shd w:val="clear" w:color="auto" w:fill="auto"/>
          </w:tcPr>
          <w:p w:rsidR="0052286D" w:rsidRPr="00E97CE7" w:rsidRDefault="0052286D" w:rsidP="00706C0B">
            <w:pPr>
              <w:rPr>
                <w:rFonts w:ascii="Calibri" w:hAnsi="Calibri"/>
                <w:b/>
                <w:color w:val="auto"/>
                <w:sz w:val="18"/>
                <w:szCs w:val="18"/>
              </w:rPr>
            </w:pPr>
            <w:r w:rsidRPr="00E97CE7">
              <w:rPr>
                <w:rFonts w:ascii="Calibri" w:hAnsi="Calibri"/>
                <w:b/>
                <w:color w:val="auto"/>
                <w:sz w:val="18"/>
                <w:szCs w:val="18"/>
              </w:rPr>
              <w:t>Hale</w:t>
            </w:r>
          </w:p>
        </w:tc>
        <w:tc>
          <w:tcPr>
            <w:tcW w:w="7348" w:type="dxa"/>
            <w:tcBorders>
              <w:top w:val="single" w:sz="2" w:space="0" w:color="A6A6A6"/>
              <w:bottom w:val="single" w:sz="2" w:space="0" w:color="A6A6A6"/>
            </w:tcBorders>
            <w:shd w:val="clear" w:color="auto" w:fill="auto"/>
          </w:tcPr>
          <w:p w:rsidR="0052286D" w:rsidRPr="009C2A96" w:rsidRDefault="003F204B" w:rsidP="003F204B">
            <w:pPr>
              <w:rPr>
                <w:rFonts w:asciiTheme="minorHAnsi" w:hAnsiTheme="minorHAnsi"/>
                <w:color w:val="000000" w:themeColor="text1"/>
                <w:sz w:val="18"/>
                <w:szCs w:val="18"/>
              </w:rPr>
            </w:pPr>
            <w:r w:rsidRPr="009C2A96">
              <w:rPr>
                <w:rFonts w:asciiTheme="minorHAnsi" w:hAnsiTheme="minorHAnsi"/>
                <w:color w:val="000000" w:themeColor="text1"/>
                <w:sz w:val="18"/>
                <w:szCs w:val="18"/>
              </w:rPr>
              <w:t>No entry</w:t>
            </w:r>
          </w:p>
        </w:tc>
      </w:tr>
      <w:tr w:rsidR="0052286D" w:rsidRPr="00E97CE7" w:rsidTr="00776059">
        <w:tc>
          <w:tcPr>
            <w:tcW w:w="1986" w:type="dxa"/>
            <w:vMerge/>
            <w:tcBorders>
              <w:top w:val="single" w:sz="2" w:space="0" w:color="A6A6A6"/>
              <w:bottom w:val="single" w:sz="2" w:space="0" w:color="A6A6A6"/>
            </w:tcBorders>
            <w:shd w:val="clear" w:color="auto" w:fill="auto"/>
          </w:tcPr>
          <w:p w:rsidR="0052286D" w:rsidRPr="00E97CE7" w:rsidRDefault="0052286D" w:rsidP="00706C0B">
            <w:pPr>
              <w:spacing w:after="120"/>
              <w:rPr>
                <w:b/>
                <w:color w:val="auto"/>
              </w:rPr>
            </w:pPr>
          </w:p>
        </w:tc>
        <w:tc>
          <w:tcPr>
            <w:tcW w:w="992" w:type="dxa"/>
            <w:tcBorders>
              <w:top w:val="single" w:sz="2" w:space="0" w:color="A6A6A6"/>
              <w:bottom w:val="single" w:sz="2" w:space="0" w:color="A6A6A6"/>
            </w:tcBorders>
            <w:shd w:val="clear" w:color="auto" w:fill="auto"/>
          </w:tcPr>
          <w:p w:rsidR="0052286D" w:rsidRPr="00E97CE7" w:rsidRDefault="0052286D" w:rsidP="00706C0B">
            <w:pPr>
              <w:rPr>
                <w:rFonts w:ascii="Calibri" w:hAnsi="Calibri"/>
                <w:b/>
                <w:color w:val="auto"/>
                <w:sz w:val="18"/>
                <w:szCs w:val="18"/>
              </w:rPr>
            </w:pPr>
            <w:r w:rsidRPr="00E97CE7">
              <w:rPr>
                <w:rFonts w:ascii="Calibri" w:hAnsi="Calibri"/>
                <w:b/>
                <w:color w:val="auto"/>
                <w:sz w:val="18"/>
                <w:szCs w:val="18"/>
              </w:rPr>
              <w:t>Briggs</w:t>
            </w:r>
          </w:p>
        </w:tc>
        <w:tc>
          <w:tcPr>
            <w:tcW w:w="7348" w:type="dxa"/>
            <w:tcBorders>
              <w:top w:val="single" w:sz="2" w:space="0" w:color="A6A6A6"/>
              <w:bottom w:val="single" w:sz="2" w:space="0" w:color="A6A6A6"/>
            </w:tcBorders>
            <w:shd w:val="clear" w:color="auto" w:fill="auto"/>
          </w:tcPr>
          <w:p w:rsidR="0052286D" w:rsidRPr="009C2A96" w:rsidRDefault="00716B59" w:rsidP="00706C0B">
            <w:pPr>
              <w:rPr>
                <w:rFonts w:asciiTheme="minorHAnsi" w:hAnsiTheme="minorHAnsi"/>
                <w:color w:val="000000" w:themeColor="text1"/>
                <w:sz w:val="18"/>
                <w:szCs w:val="18"/>
              </w:rPr>
            </w:pPr>
            <w:r w:rsidRPr="009C2A96">
              <w:rPr>
                <w:rFonts w:asciiTheme="minorHAnsi" w:hAnsiTheme="minorHAnsi"/>
                <w:color w:val="000000" w:themeColor="text1"/>
                <w:sz w:val="18"/>
                <w:szCs w:val="18"/>
              </w:rPr>
              <w:t>No entry (withdrawn from US market)</w:t>
            </w:r>
          </w:p>
        </w:tc>
      </w:tr>
      <w:tr w:rsidR="0052286D" w:rsidRPr="00E97CE7" w:rsidTr="00776059">
        <w:tc>
          <w:tcPr>
            <w:tcW w:w="1986" w:type="dxa"/>
            <w:vMerge/>
            <w:tcBorders>
              <w:top w:val="single" w:sz="2" w:space="0" w:color="A6A6A6"/>
              <w:bottom w:val="single" w:sz="2" w:space="0" w:color="000000"/>
            </w:tcBorders>
            <w:shd w:val="clear" w:color="auto" w:fill="auto"/>
          </w:tcPr>
          <w:p w:rsidR="0052286D" w:rsidRPr="00E97CE7" w:rsidRDefault="0052286D" w:rsidP="00706C0B">
            <w:pPr>
              <w:spacing w:after="120"/>
              <w:rPr>
                <w:b/>
                <w:color w:val="auto"/>
              </w:rPr>
            </w:pPr>
          </w:p>
        </w:tc>
        <w:tc>
          <w:tcPr>
            <w:tcW w:w="992" w:type="dxa"/>
            <w:tcBorders>
              <w:top w:val="single" w:sz="2" w:space="0" w:color="A6A6A6"/>
              <w:bottom w:val="single" w:sz="2" w:space="0" w:color="000000"/>
            </w:tcBorders>
            <w:shd w:val="clear" w:color="auto" w:fill="auto"/>
          </w:tcPr>
          <w:p w:rsidR="0052286D" w:rsidRPr="00E97CE7" w:rsidRDefault="00716B59" w:rsidP="00706C0B">
            <w:pPr>
              <w:rPr>
                <w:rFonts w:ascii="Calibri" w:hAnsi="Calibri"/>
                <w:b/>
                <w:color w:val="auto"/>
                <w:sz w:val="18"/>
                <w:szCs w:val="18"/>
              </w:rPr>
            </w:pPr>
            <w:r>
              <w:rPr>
                <w:rFonts w:ascii="Calibri" w:hAnsi="Calibri"/>
                <w:b/>
                <w:color w:val="auto"/>
                <w:sz w:val="18"/>
                <w:szCs w:val="18"/>
              </w:rPr>
              <w:t>SPC</w:t>
            </w:r>
          </w:p>
        </w:tc>
        <w:tc>
          <w:tcPr>
            <w:tcW w:w="7348" w:type="dxa"/>
            <w:tcBorders>
              <w:top w:val="single" w:sz="2" w:space="0" w:color="A6A6A6"/>
              <w:bottom w:val="single" w:sz="2" w:space="0" w:color="000000"/>
            </w:tcBorders>
            <w:shd w:val="clear" w:color="auto" w:fill="auto"/>
          </w:tcPr>
          <w:p w:rsidR="0052286D" w:rsidRPr="009C2A96" w:rsidRDefault="00716B59" w:rsidP="00716B59">
            <w:pPr>
              <w:shd w:val="clear" w:color="auto" w:fill="FFFFFF"/>
              <w:rPr>
                <w:rFonts w:asciiTheme="minorHAnsi" w:hAnsiTheme="minorHAnsi"/>
                <w:color w:val="000000" w:themeColor="text1"/>
                <w:sz w:val="18"/>
                <w:szCs w:val="18"/>
              </w:rPr>
            </w:pPr>
            <w:proofErr w:type="spellStart"/>
            <w:r w:rsidRPr="009C2A96">
              <w:rPr>
                <w:rFonts w:asciiTheme="minorHAnsi" w:hAnsiTheme="minorHAnsi"/>
                <w:b/>
                <w:color w:val="000000" w:themeColor="text1"/>
                <w:sz w:val="18"/>
                <w:szCs w:val="18"/>
              </w:rPr>
              <w:t>Celectol</w:t>
            </w:r>
            <w:proofErr w:type="spellEnd"/>
            <w:r w:rsidRPr="009C2A96">
              <w:rPr>
                <w:rFonts w:asciiTheme="minorHAnsi" w:hAnsiTheme="minorHAnsi"/>
                <w:b/>
                <w:color w:val="000000" w:themeColor="text1"/>
                <w:sz w:val="18"/>
                <w:szCs w:val="18"/>
              </w:rPr>
              <w:t xml:space="preserve">: </w:t>
            </w:r>
            <w:r w:rsidRPr="009C2A96">
              <w:rPr>
                <w:rFonts w:asciiTheme="minorHAnsi" w:hAnsiTheme="minorHAnsi"/>
                <w:sz w:val="18"/>
                <w:szCs w:val="18"/>
                <w:lang w:val="en"/>
              </w:rPr>
              <w:t xml:space="preserve">Most beta blockers will pass into breast milk, although to variable extents. The use of </w:t>
            </w:r>
            <w:proofErr w:type="spellStart"/>
            <w:r w:rsidRPr="009C2A96">
              <w:rPr>
                <w:rFonts w:asciiTheme="minorHAnsi" w:hAnsiTheme="minorHAnsi"/>
                <w:sz w:val="18"/>
                <w:szCs w:val="18"/>
                <w:lang w:val="en"/>
              </w:rPr>
              <w:t>Celectol</w:t>
            </w:r>
            <w:proofErr w:type="spellEnd"/>
            <w:r w:rsidRPr="009C2A96">
              <w:rPr>
                <w:rFonts w:asciiTheme="minorHAnsi" w:hAnsiTheme="minorHAnsi"/>
                <w:sz w:val="18"/>
                <w:szCs w:val="18"/>
                <w:lang w:val="en"/>
              </w:rPr>
              <w:t xml:space="preserve"> is therefore not recommended in breast-feeding mothers.</w:t>
            </w:r>
            <w:r w:rsidR="009C2A96" w:rsidRPr="009C2A96">
              <w:rPr>
                <w:rFonts w:asciiTheme="minorHAnsi" w:hAnsiTheme="minorHAnsi"/>
                <w:color w:val="000000" w:themeColor="text1"/>
                <w:sz w:val="18"/>
                <w:szCs w:val="18"/>
              </w:rPr>
              <w:t xml:space="preserve"> T</w:t>
            </w:r>
            <w:r w:rsidR="009C2A96" w:rsidRPr="009C2A96">
              <w:rPr>
                <w:rFonts w:asciiTheme="minorHAnsi" w:hAnsiTheme="minorHAnsi"/>
                <w:b/>
                <w:color w:val="auto"/>
                <w:sz w:val="18"/>
                <w:szCs w:val="18"/>
              </w:rPr>
              <w:t xml:space="preserve">½ </w:t>
            </w:r>
            <w:r w:rsidRPr="009C2A96">
              <w:rPr>
                <w:rFonts w:asciiTheme="minorHAnsi" w:hAnsiTheme="minorHAnsi"/>
                <w:color w:val="000000" w:themeColor="text1"/>
                <w:sz w:val="18"/>
                <w:szCs w:val="18"/>
              </w:rPr>
              <w:t>5-6h.</w:t>
            </w:r>
          </w:p>
        </w:tc>
      </w:tr>
      <w:tr w:rsidR="0052286D" w:rsidRPr="00E97CE7" w:rsidTr="003D23D7">
        <w:tc>
          <w:tcPr>
            <w:tcW w:w="1986" w:type="dxa"/>
            <w:vMerge w:val="restart"/>
            <w:tcBorders>
              <w:top w:val="single" w:sz="2" w:space="0" w:color="000000"/>
              <w:bottom w:val="single" w:sz="2" w:space="0" w:color="A6A6A6"/>
            </w:tcBorders>
            <w:shd w:val="clear" w:color="auto" w:fill="auto"/>
          </w:tcPr>
          <w:p w:rsidR="0052286D" w:rsidRPr="00E97CE7" w:rsidRDefault="00E70375" w:rsidP="003D23D7">
            <w:pPr>
              <w:spacing w:after="120"/>
              <w:rPr>
                <w:b/>
                <w:color w:val="auto"/>
              </w:rPr>
            </w:pPr>
            <w:r>
              <w:rPr>
                <w:b/>
                <w:color w:val="auto"/>
              </w:rPr>
              <w:t>Esmolol</w:t>
            </w:r>
          </w:p>
        </w:tc>
        <w:tc>
          <w:tcPr>
            <w:tcW w:w="992" w:type="dxa"/>
            <w:tcBorders>
              <w:top w:val="single" w:sz="2" w:space="0" w:color="000000"/>
              <w:bottom w:val="single" w:sz="2" w:space="0" w:color="A6A6A6"/>
            </w:tcBorders>
            <w:shd w:val="clear" w:color="auto" w:fill="auto"/>
          </w:tcPr>
          <w:p w:rsidR="0052286D" w:rsidRPr="00E97CE7" w:rsidRDefault="0052286D" w:rsidP="003D23D7">
            <w:pPr>
              <w:rPr>
                <w:rFonts w:ascii="Calibri" w:hAnsi="Calibri"/>
                <w:b/>
                <w:color w:val="auto"/>
                <w:sz w:val="18"/>
                <w:szCs w:val="18"/>
              </w:rPr>
            </w:pPr>
            <w:r w:rsidRPr="00E97CE7">
              <w:rPr>
                <w:rFonts w:ascii="Calibri" w:hAnsi="Calibri"/>
                <w:b/>
                <w:color w:val="auto"/>
                <w:sz w:val="18"/>
                <w:szCs w:val="18"/>
              </w:rPr>
              <w:t>LactMed</w:t>
            </w:r>
          </w:p>
        </w:tc>
        <w:tc>
          <w:tcPr>
            <w:tcW w:w="7348" w:type="dxa"/>
            <w:tcBorders>
              <w:top w:val="single" w:sz="2" w:space="0" w:color="000000"/>
              <w:bottom w:val="single" w:sz="2" w:space="0" w:color="A6A6A6"/>
            </w:tcBorders>
            <w:shd w:val="clear" w:color="auto" w:fill="auto"/>
          </w:tcPr>
          <w:p w:rsidR="0052286D" w:rsidRPr="009C2A96" w:rsidRDefault="00F84473" w:rsidP="003D23D7">
            <w:pPr>
              <w:rPr>
                <w:rFonts w:asciiTheme="minorHAnsi" w:hAnsiTheme="minorHAnsi"/>
                <w:color w:val="000000" w:themeColor="text1"/>
                <w:sz w:val="18"/>
                <w:szCs w:val="18"/>
              </w:rPr>
            </w:pPr>
            <w:r w:rsidRPr="009C2A96">
              <w:rPr>
                <w:rFonts w:asciiTheme="minorHAnsi" w:hAnsiTheme="minorHAnsi"/>
                <w:color w:val="000000" w:themeColor="text1"/>
                <w:sz w:val="18"/>
                <w:szCs w:val="18"/>
                <w:lang w:val="en"/>
              </w:rPr>
              <w:t>Based on its physicochemical properties and extremely short half-life, esmolol would not be expected to cause any adverse effects in breastfed infants</w:t>
            </w:r>
          </w:p>
        </w:tc>
      </w:tr>
      <w:tr w:rsidR="0052286D" w:rsidRPr="00E97CE7" w:rsidTr="003D23D7">
        <w:tc>
          <w:tcPr>
            <w:tcW w:w="1986" w:type="dxa"/>
            <w:vMerge/>
            <w:tcBorders>
              <w:top w:val="single" w:sz="2" w:space="0" w:color="A6A6A6"/>
              <w:bottom w:val="single" w:sz="2" w:space="0" w:color="A6A6A6"/>
            </w:tcBorders>
            <w:shd w:val="clear" w:color="auto" w:fill="auto"/>
          </w:tcPr>
          <w:p w:rsidR="0052286D" w:rsidRPr="00E97CE7" w:rsidRDefault="0052286D" w:rsidP="003D23D7">
            <w:pPr>
              <w:spacing w:after="120"/>
              <w:rPr>
                <w:b/>
                <w:color w:val="auto"/>
              </w:rPr>
            </w:pPr>
          </w:p>
        </w:tc>
        <w:tc>
          <w:tcPr>
            <w:tcW w:w="992" w:type="dxa"/>
            <w:tcBorders>
              <w:top w:val="single" w:sz="2" w:space="0" w:color="A6A6A6"/>
              <w:bottom w:val="single" w:sz="2" w:space="0" w:color="A6A6A6"/>
            </w:tcBorders>
            <w:shd w:val="clear" w:color="auto" w:fill="auto"/>
          </w:tcPr>
          <w:p w:rsidR="0052286D" w:rsidRPr="00E97CE7" w:rsidRDefault="0052286D" w:rsidP="003D23D7">
            <w:pPr>
              <w:rPr>
                <w:rFonts w:ascii="Calibri" w:hAnsi="Calibri"/>
                <w:b/>
                <w:color w:val="auto"/>
                <w:sz w:val="18"/>
                <w:szCs w:val="18"/>
              </w:rPr>
            </w:pPr>
            <w:r w:rsidRPr="00E97CE7">
              <w:rPr>
                <w:rFonts w:ascii="Calibri" w:hAnsi="Calibri"/>
                <w:b/>
                <w:color w:val="auto"/>
                <w:sz w:val="18"/>
                <w:szCs w:val="18"/>
              </w:rPr>
              <w:t>Hale</w:t>
            </w:r>
          </w:p>
        </w:tc>
        <w:tc>
          <w:tcPr>
            <w:tcW w:w="7348" w:type="dxa"/>
            <w:tcBorders>
              <w:top w:val="single" w:sz="2" w:space="0" w:color="A6A6A6"/>
              <w:bottom w:val="single" w:sz="2" w:space="0" w:color="A6A6A6"/>
            </w:tcBorders>
            <w:shd w:val="clear" w:color="auto" w:fill="auto"/>
          </w:tcPr>
          <w:p w:rsidR="0052286D" w:rsidRPr="009C2A96" w:rsidRDefault="00925BB6" w:rsidP="003F204B">
            <w:pPr>
              <w:rPr>
                <w:rFonts w:asciiTheme="minorHAnsi" w:hAnsiTheme="minorHAnsi"/>
                <w:color w:val="000000" w:themeColor="text1"/>
                <w:sz w:val="18"/>
                <w:szCs w:val="18"/>
              </w:rPr>
            </w:pPr>
            <w:proofErr w:type="spellStart"/>
            <w:r w:rsidRPr="009C2A96">
              <w:rPr>
                <w:rFonts w:asciiTheme="minorHAnsi" w:hAnsiTheme="minorHAnsi"/>
                <w:color w:val="000000" w:themeColor="text1"/>
                <w:sz w:val="18"/>
                <w:szCs w:val="18"/>
              </w:rPr>
              <w:t>Esmolol</w:t>
            </w:r>
            <w:proofErr w:type="spellEnd"/>
            <w:r w:rsidRPr="009C2A96">
              <w:rPr>
                <w:rFonts w:asciiTheme="minorHAnsi" w:hAnsiTheme="minorHAnsi"/>
                <w:color w:val="000000" w:themeColor="text1"/>
                <w:sz w:val="18"/>
                <w:szCs w:val="18"/>
              </w:rPr>
              <w:t xml:space="preserve"> is an </w:t>
            </w:r>
            <w:proofErr w:type="spellStart"/>
            <w:r w:rsidRPr="009C2A96">
              <w:rPr>
                <w:rFonts w:asciiTheme="minorHAnsi" w:hAnsiTheme="minorHAnsi"/>
                <w:color w:val="000000" w:themeColor="text1"/>
                <w:sz w:val="18"/>
                <w:szCs w:val="18"/>
              </w:rPr>
              <w:t>ultra short</w:t>
            </w:r>
            <w:proofErr w:type="spellEnd"/>
            <w:r w:rsidRPr="009C2A96">
              <w:rPr>
                <w:rFonts w:asciiTheme="minorHAnsi" w:hAnsiTheme="minorHAnsi"/>
                <w:color w:val="000000" w:themeColor="text1"/>
                <w:sz w:val="18"/>
                <w:szCs w:val="18"/>
              </w:rPr>
              <w:t xml:space="preserve">-acting beta blocker agent (T1/2= 9 minutes) with low lipid solubility. It is primarily used for treatment of </w:t>
            </w:r>
            <w:r w:rsidR="003F204B" w:rsidRPr="009C2A96">
              <w:rPr>
                <w:rFonts w:asciiTheme="minorHAnsi" w:hAnsiTheme="minorHAnsi"/>
                <w:color w:val="000000" w:themeColor="text1"/>
                <w:sz w:val="18"/>
                <w:szCs w:val="18"/>
              </w:rPr>
              <w:t>SVT</w:t>
            </w:r>
            <w:r w:rsidRPr="009C2A96">
              <w:rPr>
                <w:rFonts w:asciiTheme="minorHAnsi" w:hAnsiTheme="minorHAnsi"/>
                <w:color w:val="000000" w:themeColor="text1"/>
                <w:sz w:val="18"/>
                <w:szCs w:val="18"/>
              </w:rPr>
              <w:t>. It is only used</w:t>
            </w:r>
            <w:r w:rsidR="003F204B" w:rsidRPr="009C2A96">
              <w:rPr>
                <w:rFonts w:asciiTheme="minorHAnsi" w:hAnsiTheme="minorHAnsi"/>
                <w:color w:val="000000" w:themeColor="text1"/>
                <w:sz w:val="18"/>
                <w:szCs w:val="18"/>
              </w:rPr>
              <w:t xml:space="preserve"> IV</w:t>
            </w:r>
            <w:r w:rsidRPr="009C2A96">
              <w:rPr>
                <w:rFonts w:asciiTheme="minorHAnsi" w:hAnsiTheme="minorHAnsi"/>
                <w:color w:val="000000" w:themeColor="text1"/>
                <w:sz w:val="18"/>
                <w:szCs w:val="18"/>
              </w:rPr>
              <w:t xml:space="preserve">. It is almost completely </w:t>
            </w:r>
            <w:proofErr w:type="spellStart"/>
            <w:r w:rsidRPr="009C2A96">
              <w:rPr>
                <w:rFonts w:asciiTheme="minorHAnsi" w:hAnsiTheme="minorHAnsi"/>
                <w:color w:val="000000" w:themeColor="text1"/>
                <w:sz w:val="18"/>
                <w:szCs w:val="18"/>
              </w:rPr>
              <w:t>hydrolyzed</w:t>
            </w:r>
            <w:proofErr w:type="spellEnd"/>
            <w:r w:rsidRPr="009C2A96">
              <w:rPr>
                <w:rFonts w:asciiTheme="minorHAnsi" w:hAnsiTheme="minorHAnsi"/>
                <w:color w:val="000000" w:themeColor="text1"/>
                <w:sz w:val="18"/>
                <w:szCs w:val="18"/>
              </w:rPr>
              <w:t xml:space="preserve"> in 30 minutes. No data are available on its use in breastfeeding mothers. </w:t>
            </w:r>
            <w:r w:rsidR="009C2A96" w:rsidRPr="009C2A96">
              <w:rPr>
                <w:rFonts w:asciiTheme="minorHAnsi" w:hAnsiTheme="minorHAnsi"/>
                <w:color w:val="000000" w:themeColor="text1"/>
                <w:sz w:val="18"/>
                <w:szCs w:val="18"/>
              </w:rPr>
              <w:t>T</w:t>
            </w:r>
            <w:r w:rsidR="009C2A96" w:rsidRPr="009C2A96">
              <w:rPr>
                <w:rFonts w:asciiTheme="minorHAnsi" w:hAnsiTheme="minorHAnsi"/>
                <w:b/>
                <w:color w:val="auto"/>
                <w:sz w:val="18"/>
                <w:szCs w:val="18"/>
              </w:rPr>
              <w:t xml:space="preserve">½ </w:t>
            </w:r>
            <w:r w:rsidRPr="009C2A96">
              <w:rPr>
                <w:rFonts w:asciiTheme="minorHAnsi" w:hAnsiTheme="minorHAnsi"/>
                <w:color w:val="000000" w:themeColor="text1"/>
                <w:sz w:val="18"/>
                <w:szCs w:val="18"/>
              </w:rPr>
              <w:t>9min</w:t>
            </w:r>
            <w:r w:rsidR="00142D40" w:rsidRPr="009C2A96">
              <w:rPr>
                <w:rFonts w:asciiTheme="minorHAnsi" w:hAnsiTheme="minorHAnsi"/>
                <w:color w:val="000000" w:themeColor="text1"/>
                <w:sz w:val="18"/>
                <w:szCs w:val="18"/>
              </w:rPr>
              <w:t xml:space="preserve">. </w:t>
            </w:r>
            <w:r w:rsidRPr="009C2A96">
              <w:rPr>
                <w:rFonts w:asciiTheme="minorHAnsi" w:hAnsiTheme="minorHAnsi"/>
                <w:color w:val="000000" w:themeColor="text1"/>
                <w:sz w:val="18"/>
                <w:szCs w:val="18"/>
              </w:rPr>
              <w:t xml:space="preserve"> PB 55</w:t>
            </w:r>
            <w:r w:rsidR="00142D40" w:rsidRPr="009C2A96">
              <w:rPr>
                <w:rFonts w:asciiTheme="minorHAnsi" w:hAnsiTheme="minorHAnsi"/>
                <w:color w:val="000000" w:themeColor="text1"/>
                <w:sz w:val="18"/>
                <w:szCs w:val="18"/>
              </w:rPr>
              <w:t xml:space="preserve">%. Oral </w:t>
            </w:r>
            <w:r w:rsidRPr="009C2A96">
              <w:rPr>
                <w:rFonts w:asciiTheme="minorHAnsi" w:hAnsiTheme="minorHAnsi"/>
                <w:color w:val="000000" w:themeColor="text1"/>
                <w:sz w:val="18"/>
                <w:szCs w:val="18"/>
              </w:rPr>
              <w:t xml:space="preserve">poor </w:t>
            </w:r>
            <w:proofErr w:type="spellStart"/>
            <w:r w:rsidRPr="009C2A96">
              <w:rPr>
                <w:rFonts w:asciiTheme="minorHAnsi" w:hAnsiTheme="minorHAnsi"/>
                <w:color w:val="000000" w:themeColor="text1"/>
                <w:sz w:val="18"/>
                <w:szCs w:val="18"/>
              </w:rPr>
              <w:t>pKa</w:t>
            </w:r>
            <w:proofErr w:type="spellEnd"/>
            <w:r w:rsidRPr="009C2A96">
              <w:rPr>
                <w:rFonts w:asciiTheme="minorHAnsi" w:hAnsiTheme="minorHAnsi"/>
                <w:color w:val="000000" w:themeColor="text1"/>
                <w:sz w:val="18"/>
                <w:szCs w:val="18"/>
              </w:rPr>
              <w:t xml:space="preserve"> 9.5</w:t>
            </w:r>
            <w:r w:rsidR="00142D40" w:rsidRPr="009C2A96">
              <w:rPr>
                <w:rFonts w:asciiTheme="minorHAnsi" w:hAnsiTheme="minorHAnsi"/>
                <w:color w:val="000000" w:themeColor="text1"/>
                <w:sz w:val="18"/>
                <w:szCs w:val="18"/>
              </w:rPr>
              <w:t xml:space="preserve">. Cat </w:t>
            </w:r>
            <w:r w:rsidRPr="009C2A96">
              <w:rPr>
                <w:rFonts w:asciiTheme="minorHAnsi" w:hAnsiTheme="minorHAnsi"/>
                <w:color w:val="000000" w:themeColor="text1"/>
                <w:sz w:val="18"/>
                <w:szCs w:val="18"/>
              </w:rPr>
              <w:t xml:space="preserve">L3 – No </w:t>
            </w:r>
            <w:r w:rsidR="00142D40" w:rsidRPr="009C2A96">
              <w:rPr>
                <w:rFonts w:asciiTheme="minorHAnsi" w:hAnsiTheme="minorHAnsi"/>
                <w:color w:val="000000" w:themeColor="text1"/>
                <w:sz w:val="18"/>
                <w:szCs w:val="18"/>
              </w:rPr>
              <w:t>Data-Probably Compatible</w:t>
            </w:r>
          </w:p>
        </w:tc>
      </w:tr>
      <w:tr w:rsidR="0052286D" w:rsidRPr="00E97CE7" w:rsidTr="003D23D7">
        <w:tc>
          <w:tcPr>
            <w:tcW w:w="1986" w:type="dxa"/>
            <w:vMerge/>
            <w:tcBorders>
              <w:top w:val="single" w:sz="2" w:space="0" w:color="A6A6A6"/>
              <w:bottom w:val="single" w:sz="2" w:space="0" w:color="A6A6A6"/>
            </w:tcBorders>
            <w:shd w:val="clear" w:color="auto" w:fill="auto"/>
          </w:tcPr>
          <w:p w:rsidR="0052286D" w:rsidRPr="00E97CE7" w:rsidRDefault="0052286D" w:rsidP="003D23D7">
            <w:pPr>
              <w:spacing w:after="120"/>
              <w:rPr>
                <w:b/>
                <w:color w:val="auto"/>
              </w:rPr>
            </w:pPr>
          </w:p>
        </w:tc>
        <w:tc>
          <w:tcPr>
            <w:tcW w:w="992" w:type="dxa"/>
            <w:tcBorders>
              <w:top w:val="single" w:sz="2" w:space="0" w:color="A6A6A6"/>
              <w:bottom w:val="single" w:sz="2" w:space="0" w:color="A6A6A6"/>
            </w:tcBorders>
            <w:shd w:val="clear" w:color="auto" w:fill="auto"/>
          </w:tcPr>
          <w:p w:rsidR="0052286D" w:rsidRPr="00E97CE7" w:rsidRDefault="0052286D" w:rsidP="003D23D7">
            <w:pPr>
              <w:rPr>
                <w:rFonts w:ascii="Calibri" w:hAnsi="Calibri"/>
                <w:b/>
                <w:color w:val="auto"/>
                <w:sz w:val="18"/>
                <w:szCs w:val="18"/>
              </w:rPr>
            </w:pPr>
            <w:r w:rsidRPr="00E97CE7">
              <w:rPr>
                <w:rFonts w:ascii="Calibri" w:hAnsi="Calibri"/>
                <w:b/>
                <w:color w:val="auto"/>
                <w:sz w:val="18"/>
                <w:szCs w:val="18"/>
              </w:rPr>
              <w:t>Briggs</w:t>
            </w:r>
          </w:p>
        </w:tc>
        <w:tc>
          <w:tcPr>
            <w:tcW w:w="7348" w:type="dxa"/>
            <w:tcBorders>
              <w:top w:val="single" w:sz="2" w:space="0" w:color="A6A6A6"/>
              <w:bottom w:val="single" w:sz="2" w:space="0" w:color="A6A6A6"/>
            </w:tcBorders>
            <w:shd w:val="clear" w:color="auto" w:fill="auto"/>
          </w:tcPr>
          <w:p w:rsidR="0052286D" w:rsidRPr="009C2A96" w:rsidRDefault="00716B59" w:rsidP="003D23D7">
            <w:pPr>
              <w:rPr>
                <w:rFonts w:asciiTheme="minorHAnsi" w:hAnsiTheme="minorHAnsi"/>
                <w:color w:val="000000" w:themeColor="text1"/>
                <w:sz w:val="18"/>
                <w:szCs w:val="18"/>
              </w:rPr>
            </w:pPr>
            <w:r w:rsidRPr="009C2A96">
              <w:rPr>
                <w:rFonts w:asciiTheme="minorHAnsi" w:hAnsiTheme="minorHAnsi"/>
                <w:sz w:val="18"/>
                <w:szCs w:val="18"/>
              </w:rPr>
              <w:t>No Human Data—Probably Compatible</w:t>
            </w:r>
          </w:p>
        </w:tc>
      </w:tr>
      <w:tr w:rsidR="0052286D" w:rsidRPr="00E97CE7" w:rsidTr="003D23D7">
        <w:tc>
          <w:tcPr>
            <w:tcW w:w="1986" w:type="dxa"/>
            <w:vMerge/>
            <w:tcBorders>
              <w:top w:val="single" w:sz="2" w:space="0" w:color="A6A6A6"/>
              <w:bottom w:val="single" w:sz="2" w:space="0" w:color="000000"/>
            </w:tcBorders>
            <w:shd w:val="clear" w:color="auto" w:fill="auto"/>
          </w:tcPr>
          <w:p w:rsidR="0052286D" w:rsidRPr="00E97CE7" w:rsidRDefault="0052286D" w:rsidP="003D23D7">
            <w:pPr>
              <w:spacing w:after="120"/>
              <w:rPr>
                <w:b/>
                <w:color w:val="auto"/>
              </w:rPr>
            </w:pPr>
          </w:p>
        </w:tc>
        <w:tc>
          <w:tcPr>
            <w:tcW w:w="992" w:type="dxa"/>
            <w:tcBorders>
              <w:top w:val="single" w:sz="2" w:space="0" w:color="A6A6A6"/>
              <w:bottom w:val="single" w:sz="2" w:space="0" w:color="000000"/>
            </w:tcBorders>
            <w:shd w:val="clear" w:color="auto" w:fill="auto"/>
          </w:tcPr>
          <w:p w:rsidR="0052286D" w:rsidRPr="00E97CE7" w:rsidRDefault="0052286D" w:rsidP="003D23D7">
            <w:pPr>
              <w:rPr>
                <w:rFonts w:ascii="Calibri" w:hAnsi="Calibri"/>
                <w:b/>
                <w:color w:val="auto"/>
                <w:sz w:val="18"/>
                <w:szCs w:val="18"/>
              </w:rPr>
            </w:pPr>
          </w:p>
        </w:tc>
        <w:tc>
          <w:tcPr>
            <w:tcW w:w="7348" w:type="dxa"/>
            <w:tcBorders>
              <w:top w:val="single" w:sz="2" w:space="0" w:color="A6A6A6"/>
              <w:bottom w:val="single" w:sz="2" w:space="0" w:color="000000"/>
            </w:tcBorders>
            <w:shd w:val="clear" w:color="auto" w:fill="auto"/>
          </w:tcPr>
          <w:p w:rsidR="0052286D" w:rsidRPr="009C2A96" w:rsidRDefault="0052286D" w:rsidP="003D23D7">
            <w:pPr>
              <w:rPr>
                <w:rFonts w:asciiTheme="minorHAnsi" w:hAnsiTheme="minorHAnsi"/>
                <w:color w:val="000000" w:themeColor="text1"/>
                <w:sz w:val="18"/>
                <w:szCs w:val="18"/>
              </w:rPr>
            </w:pPr>
          </w:p>
        </w:tc>
      </w:tr>
      <w:tr w:rsidR="0052286D" w:rsidRPr="001768FD" w:rsidTr="003D23D7">
        <w:tc>
          <w:tcPr>
            <w:tcW w:w="1986" w:type="dxa"/>
            <w:vMerge w:val="restart"/>
            <w:tcBorders>
              <w:top w:val="single" w:sz="2" w:space="0" w:color="000000"/>
              <w:bottom w:val="single" w:sz="2" w:space="0" w:color="A6A6A6"/>
            </w:tcBorders>
            <w:shd w:val="clear" w:color="auto" w:fill="auto"/>
          </w:tcPr>
          <w:p w:rsidR="0052286D" w:rsidRPr="00E97CE7" w:rsidRDefault="00E70375" w:rsidP="003D23D7">
            <w:pPr>
              <w:spacing w:after="120"/>
              <w:rPr>
                <w:b/>
                <w:color w:val="auto"/>
              </w:rPr>
            </w:pPr>
            <w:r>
              <w:rPr>
                <w:b/>
                <w:color w:val="auto"/>
              </w:rPr>
              <w:t>Labetalol</w:t>
            </w:r>
          </w:p>
        </w:tc>
        <w:tc>
          <w:tcPr>
            <w:tcW w:w="992" w:type="dxa"/>
            <w:tcBorders>
              <w:top w:val="single" w:sz="2" w:space="0" w:color="000000"/>
              <w:bottom w:val="single" w:sz="2" w:space="0" w:color="A6A6A6"/>
            </w:tcBorders>
            <w:shd w:val="clear" w:color="auto" w:fill="auto"/>
          </w:tcPr>
          <w:p w:rsidR="0052286D" w:rsidRPr="00E97CE7" w:rsidRDefault="0052286D" w:rsidP="003D23D7">
            <w:pPr>
              <w:rPr>
                <w:rFonts w:ascii="Calibri" w:hAnsi="Calibri"/>
                <w:b/>
                <w:color w:val="auto"/>
                <w:sz w:val="18"/>
                <w:szCs w:val="18"/>
              </w:rPr>
            </w:pPr>
            <w:r w:rsidRPr="00E97CE7">
              <w:rPr>
                <w:rFonts w:ascii="Calibri" w:hAnsi="Calibri"/>
                <w:b/>
                <w:color w:val="auto"/>
                <w:sz w:val="18"/>
                <w:szCs w:val="18"/>
              </w:rPr>
              <w:t>LactMed</w:t>
            </w:r>
          </w:p>
        </w:tc>
        <w:tc>
          <w:tcPr>
            <w:tcW w:w="7348" w:type="dxa"/>
            <w:tcBorders>
              <w:top w:val="single" w:sz="2" w:space="0" w:color="000000"/>
              <w:bottom w:val="single" w:sz="2" w:space="0" w:color="A6A6A6"/>
            </w:tcBorders>
            <w:shd w:val="clear" w:color="auto" w:fill="auto"/>
          </w:tcPr>
          <w:p w:rsidR="0052286D" w:rsidRPr="009C2A96" w:rsidRDefault="004D6B43" w:rsidP="003D23D7">
            <w:pPr>
              <w:rPr>
                <w:rFonts w:asciiTheme="minorHAnsi" w:hAnsiTheme="minorHAnsi"/>
                <w:b/>
                <w:color w:val="000000" w:themeColor="text1"/>
                <w:sz w:val="18"/>
                <w:szCs w:val="18"/>
              </w:rPr>
            </w:pPr>
            <w:r w:rsidRPr="009C2A96">
              <w:rPr>
                <w:rFonts w:asciiTheme="minorHAnsi" w:hAnsiTheme="minorHAnsi"/>
                <w:color w:val="000000" w:themeColor="text1"/>
                <w:sz w:val="18"/>
                <w:szCs w:val="18"/>
                <w:lang w:val="en"/>
              </w:rPr>
              <w:t xml:space="preserve">Because of the low levels of </w:t>
            </w:r>
            <w:r w:rsidRPr="009C2A96">
              <w:rPr>
                <w:rStyle w:val="Strong"/>
                <w:rFonts w:asciiTheme="minorHAnsi" w:hAnsiTheme="minorHAnsi"/>
                <w:color w:val="000000" w:themeColor="text1"/>
                <w:sz w:val="18"/>
                <w:szCs w:val="18"/>
                <w:lang w:val="en"/>
              </w:rPr>
              <w:t>l</w:t>
            </w:r>
            <w:r w:rsidRPr="009C2A96">
              <w:rPr>
                <w:rStyle w:val="Strong"/>
                <w:rFonts w:asciiTheme="minorHAnsi" w:hAnsiTheme="minorHAnsi"/>
                <w:b w:val="0"/>
                <w:color w:val="000000" w:themeColor="text1"/>
                <w:sz w:val="18"/>
                <w:szCs w:val="18"/>
                <w:lang w:val="en"/>
              </w:rPr>
              <w:t>abetalol</w:t>
            </w:r>
            <w:r w:rsidRPr="009C2A96">
              <w:rPr>
                <w:rFonts w:asciiTheme="minorHAnsi" w:hAnsiTheme="minorHAnsi"/>
                <w:b/>
                <w:color w:val="000000" w:themeColor="text1"/>
                <w:sz w:val="18"/>
                <w:szCs w:val="18"/>
                <w:lang w:val="en"/>
              </w:rPr>
              <w:t xml:space="preserve"> </w:t>
            </w:r>
            <w:r w:rsidRPr="009C2A96">
              <w:rPr>
                <w:rFonts w:asciiTheme="minorHAnsi" w:hAnsiTheme="minorHAnsi"/>
                <w:color w:val="000000" w:themeColor="text1"/>
                <w:sz w:val="18"/>
                <w:szCs w:val="18"/>
                <w:lang w:val="en"/>
              </w:rPr>
              <w:t xml:space="preserve">in breastmilk, amounts ingested by the infant are small and would not be expected to cause any adverse effects in </w:t>
            </w:r>
            <w:proofErr w:type="spellStart"/>
            <w:r w:rsidRPr="009C2A96">
              <w:rPr>
                <w:rFonts w:asciiTheme="minorHAnsi" w:hAnsiTheme="minorHAnsi"/>
                <w:color w:val="000000" w:themeColor="text1"/>
                <w:sz w:val="18"/>
                <w:szCs w:val="18"/>
                <w:lang w:val="en"/>
              </w:rPr>
              <w:t>fullterm</w:t>
            </w:r>
            <w:proofErr w:type="spellEnd"/>
            <w:r w:rsidRPr="009C2A96">
              <w:rPr>
                <w:rFonts w:asciiTheme="minorHAnsi" w:hAnsiTheme="minorHAnsi"/>
                <w:color w:val="000000" w:themeColor="text1"/>
                <w:sz w:val="18"/>
                <w:szCs w:val="18"/>
                <w:lang w:val="en"/>
              </w:rPr>
              <w:t xml:space="preserve"> breastfed infants. No special precautions are required in most infants. However, other agents may be preferred while nursing a preterm infant.</w:t>
            </w:r>
          </w:p>
        </w:tc>
      </w:tr>
      <w:tr w:rsidR="0052286D" w:rsidRPr="001768FD" w:rsidTr="003D23D7">
        <w:tc>
          <w:tcPr>
            <w:tcW w:w="1986" w:type="dxa"/>
            <w:vMerge/>
            <w:tcBorders>
              <w:top w:val="single" w:sz="2" w:space="0" w:color="A6A6A6"/>
              <w:bottom w:val="single" w:sz="2" w:space="0" w:color="A6A6A6"/>
            </w:tcBorders>
            <w:shd w:val="clear" w:color="auto" w:fill="auto"/>
          </w:tcPr>
          <w:p w:rsidR="0052286D" w:rsidRPr="00E97CE7" w:rsidRDefault="0052286D" w:rsidP="003D23D7">
            <w:pPr>
              <w:spacing w:after="120"/>
              <w:rPr>
                <w:b/>
                <w:color w:val="auto"/>
              </w:rPr>
            </w:pPr>
          </w:p>
        </w:tc>
        <w:tc>
          <w:tcPr>
            <w:tcW w:w="992" w:type="dxa"/>
            <w:tcBorders>
              <w:top w:val="single" w:sz="2" w:space="0" w:color="A6A6A6"/>
              <w:bottom w:val="single" w:sz="2" w:space="0" w:color="A6A6A6"/>
            </w:tcBorders>
            <w:shd w:val="clear" w:color="auto" w:fill="auto"/>
          </w:tcPr>
          <w:p w:rsidR="0052286D" w:rsidRPr="00E97CE7" w:rsidRDefault="0052286D" w:rsidP="003D23D7">
            <w:pPr>
              <w:rPr>
                <w:rFonts w:ascii="Calibri" w:hAnsi="Calibri"/>
                <w:b/>
                <w:color w:val="auto"/>
                <w:sz w:val="18"/>
                <w:szCs w:val="18"/>
              </w:rPr>
            </w:pPr>
            <w:r w:rsidRPr="00E97CE7">
              <w:rPr>
                <w:rFonts w:ascii="Calibri" w:hAnsi="Calibri"/>
                <w:b/>
                <w:color w:val="auto"/>
                <w:sz w:val="18"/>
                <w:szCs w:val="18"/>
              </w:rPr>
              <w:t>Hale</w:t>
            </w:r>
          </w:p>
        </w:tc>
        <w:tc>
          <w:tcPr>
            <w:tcW w:w="7348" w:type="dxa"/>
            <w:tcBorders>
              <w:top w:val="single" w:sz="2" w:space="0" w:color="A6A6A6"/>
              <w:bottom w:val="single" w:sz="2" w:space="0" w:color="A6A6A6"/>
            </w:tcBorders>
            <w:shd w:val="clear" w:color="auto" w:fill="auto"/>
          </w:tcPr>
          <w:p w:rsidR="0052286D" w:rsidRPr="009C2A96" w:rsidRDefault="00925BB6" w:rsidP="00F37F9A">
            <w:pPr>
              <w:rPr>
                <w:rFonts w:asciiTheme="minorHAnsi" w:hAnsiTheme="minorHAnsi"/>
                <w:color w:val="000000" w:themeColor="text1"/>
                <w:sz w:val="18"/>
                <w:szCs w:val="18"/>
              </w:rPr>
            </w:pPr>
            <w:r w:rsidRPr="009C2A96">
              <w:rPr>
                <w:rFonts w:asciiTheme="minorHAnsi" w:hAnsiTheme="minorHAnsi"/>
                <w:color w:val="000000" w:themeColor="text1"/>
                <w:sz w:val="18"/>
                <w:szCs w:val="18"/>
              </w:rPr>
              <w:t>Labetalol is a selective beta blocker</w:t>
            </w:r>
            <w:r w:rsidR="00F37F9A" w:rsidRPr="009C2A96">
              <w:rPr>
                <w:rFonts w:asciiTheme="minorHAnsi" w:hAnsiTheme="minorHAnsi"/>
                <w:color w:val="000000" w:themeColor="text1"/>
                <w:sz w:val="18"/>
                <w:szCs w:val="18"/>
              </w:rPr>
              <w:t xml:space="preserve"> with moderate lipid solubility. </w:t>
            </w:r>
            <w:r w:rsidRPr="009C2A96">
              <w:rPr>
                <w:rFonts w:asciiTheme="minorHAnsi" w:hAnsiTheme="minorHAnsi"/>
                <w:color w:val="000000" w:themeColor="text1"/>
                <w:sz w:val="18"/>
                <w:szCs w:val="18"/>
              </w:rPr>
              <w:t xml:space="preserve">In one study of 3 women receiving 600 - 1200 mg/day, the peak concentrations of labetalol in breastmilk were 129, 223, and </w:t>
            </w:r>
            <w:proofErr w:type="gramStart"/>
            <w:r w:rsidRPr="009C2A96">
              <w:rPr>
                <w:rFonts w:asciiTheme="minorHAnsi" w:hAnsiTheme="minorHAnsi"/>
                <w:color w:val="000000" w:themeColor="text1"/>
                <w:sz w:val="18"/>
                <w:szCs w:val="18"/>
              </w:rPr>
              <w:t>662 µg</w:t>
            </w:r>
            <w:r w:rsidR="00F37F9A" w:rsidRPr="009C2A96">
              <w:rPr>
                <w:rFonts w:asciiTheme="minorHAnsi" w:hAnsiTheme="minorHAnsi"/>
                <w:color w:val="000000" w:themeColor="text1"/>
                <w:sz w:val="18"/>
                <w:szCs w:val="18"/>
              </w:rPr>
              <w:t>/L respectively</w:t>
            </w:r>
            <w:proofErr w:type="gramEnd"/>
            <w:r w:rsidR="00F37F9A" w:rsidRPr="009C2A96">
              <w:rPr>
                <w:rFonts w:asciiTheme="minorHAnsi" w:hAnsiTheme="minorHAnsi"/>
                <w:color w:val="000000" w:themeColor="text1"/>
                <w:sz w:val="18"/>
                <w:szCs w:val="18"/>
              </w:rPr>
              <w:t>.</w:t>
            </w:r>
            <w:r w:rsidRPr="009C2A96">
              <w:rPr>
                <w:rFonts w:asciiTheme="minorHAnsi" w:hAnsiTheme="minorHAnsi"/>
                <w:color w:val="000000" w:themeColor="text1"/>
                <w:sz w:val="18"/>
                <w:szCs w:val="18"/>
              </w:rPr>
              <w:t xml:space="preserve"> In only one infant were measurable plasma levels found (18 µg/L) following a maternal dose of 600 </w:t>
            </w:r>
            <w:proofErr w:type="gramStart"/>
            <w:r w:rsidRPr="009C2A96">
              <w:rPr>
                <w:rFonts w:asciiTheme="minorHAnsi" w:hAnsiTheme="minorHAnsi"/>
                <w:color w:val="000000" w:themeColor="text1"/>
                <w:sz w:val="18"/>
                <w:szCs w:val="18"/>
              </w:rPr>
              <w:t>mg.</w:t>
            </w:r>
            <w:proofErr w:type="gramEnd"/>
            <w:r w:rsidRPr="009C2A96">
              <w:rPr>
                <w:rFonts w:asciiTheme="minorHAnsi" w:hAnsiTheme="minorHAnsi"/>
                <w:color w:val="000000" w:themeColor="text1"/>
                <w:sz w:val="18"/>
                <w:szCs w:val="18"/>
              </w:rPr>
              <w:t xml:space="preserve"> Therefore, only small amounts are secreted into human milk. </w:t>
            </w:r>
            <w:r w:rsidR="009C2A96" w:rsidRPr="009C2A96">
              <w:rPr>
                <w:rFonts w:asciiTheme="minorHAnsi" w:hAnsiTheme="minorHAnsi"/>
                <w:color w:val="000000" w:themeColor="text1"/>
                <w:sz w:val="18"/>
                <w:szCs w:val="18"/>
              </w:rPr>
              <w:t>T</w:t>
            </w:r>
            <w:r w:rsidR="009C2A96" w:rsidRPr="009C2A96">
              <w:rPr>
                <w:rFonts w:asciiTheme="minorHAnsi" w:hAnsiTheme="minorHAnsi"/>
                <w:b/>
                <w:color w:val="auto"/>
                <w:sz w:val="18"/>
                <w:szCs w:val="18"/>
              </w:rPr>
              <w:t xml:space="preserve">½ </w:t>
            </w:r>
            <w:r w:rsidRPr="009C2A96">
              <w:rPr>
                <w:rFonts w:asciiTheme="minorHAnsi" w:hAnsiTheme="minorHAnsi"/>
                <w:color w:val="000000" w:themeColor="text1"/>
                <w:sz w:val="18"/>
                <w:szCs w:val="18"/>
              </w:rPr>
              <w:t>6-8h</w:t>
            </w:r>
            <w:r w:rsidR="00142D40" w:rsidRPr="009C2A96">
              <w:rPr>
                <w:rFonts w:asciiTheme="minorHAnsi" w:hAnsiTheme="minorHAnsi"/>
                <w:color w:val="000000" w:themeColor="text1"/>
                <w:sz w:val="18"/>
                <w:szCs w:val="18"/>
              </w:rPr>
              <w:t xml:space="preserve">. M/P </w:t>
            </w:r>
            <w:r w:rsidRPr="009C2A96">
              <w:rPr>
                <w:rFonts w:asciiTheme="minorHAnsi" w:hAnsiTheme="minorHAnsi"/>
                <w:color w:val="000000" w:themeColor="text1"/>
                <w:sz w:val="18"/>
                <w:szCs w:val="18"/>
              </w:rPr>
              <w:t>0.8-2.6. PB 50</w:t>
            </w:r>
            <w:r w:rsidR="00142D40" w:rsidRPr="009C2A96">
              <w:rPr>
                <w:rFonts w:asciiTheme="minorHAnsi" w:hAnsiTheme="minorHAnsi"/>
                <w:color w:val="000000" w:themeColor="text1"/>
                <w:sz w:val="18"/>
                <w:szCs w:val="18"/>
              </w:rPr>
              <w:t xml:space="preserve">%. Oral </w:t>
            </w:r>
            <w:r w:rsidRPr="009C2A96">
              <w:rPr>
                <w:rFonts w:asciiTheme="minorHAnsi" w:hAnsiTheme="minorHAnsi"/>
                <w:color w:val="000000" w:themeColor="text1"/>
                <w:sz w:val="18"/>
                <w:szCs w:val="18"/>
              </w:rPr>
              <w:t xml:space="preserve">30-40%. </w:t>
            </w:r>
            <w:proofErr w:type="spellStart"/>
            <w:proofErr w:type="gramStart"/>
            <w:r w:rsidRPr="009C2A96">
              <w:rPr>
                <w:rFonts w:asciiTheme="minorHAnsi" w:hAnsiTheme="minorHAnsi"/>
                <w:color w:val="000000" w:themeColor="text1"/>
                <w:sz w:val="18"/>
                <w:szCs w:val="18"/>
              </w:rPr>
              <w:t>pKa</w:t>
            </w:r>
            <w:proofErr w:type="spellEnd"/>
            <w:proofErr w:type="gramEnd"/>
            <w:r w:rsidRPr="009C2A96">
              <w:rPr>
                <w:rFonts w:asciiTheme="minorHAnsi" w:hAnsiTheme="minorHAnsi"/>
                <w:color w:val="000000" w:themeColor="text1"/>
                <w:sz w:val="18"/>
                <w:szCs w:val="18"/>
              </w:rPr>
              <w:t xml:space="preserve"> 8.1</w:t>
            </w:r>
            <w:r w:rsidR="00142D40" w:rsidRPr="009C2A96">
              <w:rPr>
                <w:rFonts w:asciiTheme="minorHAnsi" w:hAnsiTheme="minorHAnsi"/>
                <w:color w:val="000000" w:themeColor="text1"/>
                <w:sz w:val="18"/>
                <w:szCs w:val="18"/>
              </w:rPr>
              <w:t xml:space="preserve">. </w:t>
            </w:r>
            <w:r w:rsidRPr="009C2A96">
              <w:rPr>
                <w:rFonts w:asciiTheme="minorHAnsi" w:hAnsiTheme="minorHAnsi"/>
                <w:color w:val="000000" w:themeColor="text1"/>
                <w:sz w:val="18"/>
                <w:szCs w:val="18"/>
              </w:rPr>
              <w:t>Cat L2 - Limited Data-Probably Compatible</w:t>
            </w:r>
          </w:p>
        </w:tc>
      </w:tr>
      <w:tr w:rsidR="0052286D" w:rsidRPr="001768FD" w:rsidTr="003D23D7">
        <w:tc>
          <w:tcPr>
            <w:tcW w:w="1986" w:type="dxa"/>
            <w:vMerge/>
            <w:tcBorders>
              <w:top w:val="single" w:sz="2" w:space="0" w:color="A6A6A6"/>
              <w:bottom w:val="single" w:sz="2" w:space="0" w:color="A6A6A6"/>
            </w:tcBorders>
            <w:shd w:val="clear" w:color="auto" w:fill="auto"/>
          </w:tcPr>
          <w:p w:rsidR="0052286D" w:rsidRPr="00E97CE7" w:rsidRDefault="0052286D" w:rsidP="003D23D7">
            <w:pPr>
              <w:spacing w:after="120"/>
              <w:rPr>
                <w:b/>
                <w:color w:val="auto"/>
              </w:rPr>
            </w:pPr>
          </w:p>
        </w:tc>
        <w:tc>
          <w:tcPr>
            <w:tcW w:w="992" w:type="dxa"/>
            <w:tcBorders>
              <w:top w:val="single" w:sz="2" w:space="0" w:color="A6A6A6"/>
              <w:bottom w:val="single" w:sz="2" w:space="0" w:color="A6A6A6"/>
            </w:tcBorders>
            <w:shd w:val="clear" w:color="auto" w:fill="auto"/>
          </w:tcPr>
          <w:p w:rsidR="0052286D" w:rsidRPr="00E97CE7" w:rsidRDefault="0052286D" w:rsidP="003D23D7">
            <w:pPr>
              <w:rPr>
                <w:rFonts w:ascii="Calibri" w:hAnsi="Calibri"/>
                <w:b/>
                <w:color w:val="auto"/>
                <w:sz w:val="18"/>
                <w:szCs w:val="18"/>
              </w:rPr>
            </w:pPr>
            <w:r w:rsidRPr="00E97CE7">
              <w:rPr>
                <w:rFonts w:ascii="Calibri" w:hAnsi="Calibri"/>
                <w:b/>
                <w:color w:val="auto"/>
                <w:sz w:val="18"/>
                <w:szCs w:val="18"/>
              </w:rPr>
              <w:t>Briggs</w:t>
            </w:r>
          </w:p>
        </w:tc>
        <w:tc>
          <w:tcPr>
            <w:tcW w:w="7348" w:type="dxa"/>
            <w:tcBorders>
              <w:top w:val="single" w:sz="2" w:space="0" w:color="A6A6A6"/>
              <w:bottom w:val="single" w:sz="2" w:space="0" w:color="A6A6A6"/>
            </w:tcBorders>
            <w:shd w:val="clear" w:color="auto" w:fill="auto"/>
          </w:tcPr>
          <w:p w:rsidR="0052286D" w:rsidRPr="009C2A96" w:rsidRDefault="00716B59" w:rsidP="003D23D7">
            <w:pPr>
              <w:rPr>
                <w:rFonts w:asciiTheme="minorHAnsi" w:hAnsiTheme="minorHAnsi"/>
                <w:color w:val="000000" w:themeColor="text1"/>
                <w:sz w:val="18"/>
                <w:szCs w:val="18"/>
              </w:rPr>
            </w:pPr>
            <w:r w:rsidRPr="009C2A96">
              <w:rPr>
                <w:rFonts w:asciiTheme="minorHAnsi" w:hAnsiTheme="minorHAnsi"/>
                <w:sz w:val="18"/>
                <w:szCs w:val="18"/>
              </w:rPr>
              <w:t>Limited Human Data—Probably Compatible</w:t>
            </w:r>
          </w:p>
        </w:tc>
      </w:tr>
      <w:tr w:rsidR="0052286D" w:rsidRPr="001768FD" w:rsidTr="003D23D7">
        <w:tc>
          <w:tcPr>
            <w:tcW w:w="1986" w:type="dxa"/>
            <w:vMerge/>
            <w:tcBorders>
              <w:top w:val="single" w:sz="2" w:space="0" w:color="A6A6A6"/>
              <w:bottom w:val="single" w:sz="2" w:space="0" w:color="000000"/>
            </w:tcBorders>
            <w:shd w:val="clear" w:color="auto" w:fill="auto"/>
          </w:tcPr>
          <w:p w:rsidR="0052286D" w:rsidRPr="00E97CE7" w:rsidRDefault="0052286D" w:rsidP="003D23D7">
            <w:pPr>
              <w:spacing w:after="120"/>
              <w:rPr>
                <w:b/>
                <w:color w:val="auto"/>
              </w:rPr>
            </w:pPr>
          </w:p>
        </w:tc>
        <w:tc>
          <w:tcPr>
            <w:tcW w:w="992" w:type="dxa"/>
            <w:tcBorders>
              <w:top w:val="single" w:sz="2" w:space="0" w:color="A6A6A6"/>
              <w:bottom w:val="single" w:sz="2" w:space="0" w:color="000000"/>
            </w:tcBorders>
            <w:shd w:val="clear" w:color="auto" w:fill="auto"/>
          </w:tcPr>
          <w:p w:rsidR="0052286D" w:rsidRPr="00E97CE7" w:rsidRDefault="0052286D" w:rsidP="003D23D7">
            <w:pPr>
              <w:rPr>
                <w:rFonts w:ascii="Calibri" w:hAnsi="Calibri"/>
                <w:b/>
                <w:color w:val="auto"/>
                <w:sz w:val="18"/>
                <w:szCs w:val="18"/>
              </w:rPr>
            </w:pPr>
          </w:p>
        </w:tc>
        <w:tc>
          <w:tcPr>
            <w:tcW w:w="7348" w:type="dxa"/>
            <w:tcBorders>
              <w:top w:val="single" w:sz="2" w:space="0" w:color="A6A6A6"/>
              <w:bottom w:val="single" w:sz="2" w:space="0" w:color="000000"/>
            </w:tcBorders>
            <w:shd w:val="clear" w:color="auto" w:fill="auto"/>
          </w:tcPr>
          <w:p w:rsidR="0052286D" w:rsidRPr="009C2A96" w:rsidRDefault="0052286D" w:rsidP="003D23D7">
            <w:pPr>
              <w:rPr>
                <w:rFonts w:asciiTheme="minorHAnsi" w:hAnsiTheme="minorHAnsi"/>
                <w:color w:val="000000" w:themeColor="text1"/>
                <w:sz w:val="18"/>
                <w:szCs w:val="18"/>
              </w:rPr>
            </w:pPr>
          </w:p>
        </w:tc>
      </w:tr>
      <w:tr w:rsidR="0052286D" w:rsidRPr="001768FD" w:rsidTr="003D23D7">
        <w:tc>
          <w:tcPr>
            <w:tcW w:w="1986" w:type="dxa"/>
            <w:vMerge w:val="restart"/>
            <w:tcBorders>
              <w:top w:val="single" w:sz="2" w:space="0" w:color="000000"/>
              <w:bottom w:val="single" w:sz="2" w:space="0" w:color="A6A6A6"/>
            </w:tcBorders>
            <w:shd w:val="clear" w:color="auto" w:fill="auto"/>
          </w:tcPr>
          <w:p w:rsidR="0052286D" w:rsidRPr="00E97CE7" w:rsidRDefault="00E70375" w:rsidP="003D23D7">
            <w:pPr>
              <w:spacing w:after="120"/>
              <w:rPr>
                <w:b/>
                <w:color w:val="auto"/>
              </w:rPr>
            </w:pPr>
            <w:r>
              <w:rPr>
                <w:b/>
                <w:color w:val="auto"/>
              </w:rPr>
              <w:t>Metoprolol</w:t>
            </w:r>
          </w:p>
        </w:tc>
        <w:tc>
          <w:tcPr>
            <w:tcW w:w="992" w:type="dxa"/>
            <w:tcBorders>
              <w:top w:val="single" w:sz="2" w:space="0" w:color="000000"/>
              <w:bottom w:val="single" w:sz="2" w:space="0" w:color="A6A6A6"/>
            </w:tcBorders>
            <w:shd w:val="clear" w:color="auto" w:fill="auto"/>
          </w:tcPr>
          <w:p w:rsidR="0052286D" w:rsidRPr="00E97CE7" w:rsidRDefault="0052286D" w:rsidP="003D23D7">
            <w:pPr>
              <w:rPr>
                <w:rFonts w:ascii="Calibri" w:hAnsi="Calibri"/>
                <w:b/>
                <w:color w:val="auto"/>
                <w:sz w:val="18"/>
                <w:szCs w:val="18"/>
              </w:rPr>
            </w:pPr>
            <w:r w:rsidRPr="00E97CE7">
              <w:rPr>
                <w:rFonts w:ascii="Calibri" w:hAnsi="Calibri"/>
                <w:b/>
                <w:color w:val="auto"/>
                <w:sz w:val="18"/>
                <w:szCs w:val="18"/>
              </w:rPr>
              <w:t>LactMed</w:t>
            </w:r>
          </w:p>
        </w:tc>
        <w:tc>
          <w:tcPr>
            <w:tcW w:w="7348" w:type="dxa"/>
            <w:tcBorders>
              <w:top w:val="single" w:sz="2" w:space="0" w:color="000000"/>
              <w:bottom w:val="single" w:sz="2" w:space="0" w:color="A6A6A6"/>
            </w:tcBorders>
            <w:shd w:val="clear" w:color="auto" w:fill="auto"/>
          </w:tcPr>
          <w:p w:rsidR="0052286D" w:rsidRPr="009C2A96" w:rsidRDefault="004D6B43" w:rsidP="00B929CB">
            <w:pPr>
              <w:rPr>
                <w:rFonts w:asciiTheme="minorHAnsi" w:hAnsiTheme="minorHAnsi"/>
                <w:b/>
                <w:color w:val="000000" w:themeColor="text1"/>
                <w:sz w:val="18"/>
                <w:szCs w:val="18"/>
              </w:rPr>
            </w:pPr>
            <w:r w:rsidRPr="009C2A96">
              <w:rPr>
                <w:rFonts w:asciiTheme="minorHAnsi" w:hAnsiTheme="minorHAnsi"/>
                <w:color w:val="000000" w:themeColor="text1"/>
                <w:sz w:val="18"/>
                <w:szCs w:val="18"/>
                <w:lang w:val="en"/>
              </w:rPr>
              <w:t xml:space="preserve">Because of the low levels of </w:t>
            </w:r>
            <w:r w:rsidRPr="009C2A96">
              <w:rPr>
                <w:rStyle w:val="Strong"/>
                <w:rFonts w:asciiTheme="minorHAnsi" w:hAnsiTheme="minorHAnsi"/>
                <w:b w:val="0"/>
                <w:color w:val="000000" w:themeColor="text1"/>
                <w:sz w:val="18"/>
                <w:szCs w:val="18"/>
                <w:lang w:val="en"/>
              </w:rPr>
              <w:t>metoprolol</w:t>
            </w:r>
            <w:r w:rsidRPr="009C2A96">
              <w:rPr>
                <w:rFonts w:asciiTheme="minorHAnsi" w:hAnsiTheme="minorHAnsi"/>
                <w:color w:val="000000" w:themeColor="text1"/>
                <w:sz w:val="18"/>
                <w:szCs w:val="18"/>
                <w:lang w:val="en"/>
              </w:rPr>
              <w:t xml:space="preserve"> in breastmilk, amounts ingested by the infant are small and would not be expected to cause any adverse effects in breastfed infants. Studies on the use of </w:t>
            </w:r>
            <w:r w:rsidRPr="009C2A96">
              <w:rPr>
                <w:rStyle w:val="Strong"/>
                <w:rFonts w:asciiTheme="minorHAnsi" w:hAnsiTheme="minorHAnsi"/>
                <w:b w:val="0"/>
                <w:color w:val="000000" w:themeColor="text1"/>
                <w:sz w:val="18"/>
                <w:szCs w:val="18"/>
                <w:lang w:val="en"/>
              </w:rPr>
              <w:t>metoprolol</w:t>
            </w:r>
            <w:r w:rsidRPr="009C2A96">
              <w:rPr>
                <w:rFonts w:asciiTheme="minorHAnsi" w:hAnsiTheme="minorHAnsi"/>
                <w:color w:val="000000" w:themeColor="text1"/>
                <w:sz w:val="18"/>
                <w:szCs w:val="18"/>
                <w:lang w:val="en"/>
              </w:rPr>
              <w:t xml:space="preserve"> during breastfeeding have found no adverse reactions in breastfed infants. No special precautions are required.</w:t>
            </w:r>
          </w:p>
        </w:tc>
      </w:tr>
      <w:tr w:rsidR="0052286D" w:rsidRPr="001768FD" w:rsidTr="003D23D7">
        <w:tc>
          <w:tcPr>
            <w:tcW w:w="1986" w:type="dxa"/>
            <w:vMerge/>
            <w:tcBorders>
              <w:top w:val="single" w:sz="2" w:space="0" w:color="A6A6A6"/>
              <w:bottom w:val="single" w:sz="2" w:space="0" w:color="A6A6A6"/>
            </w:tcBorders>
            <w:shd w:val="clear" w:color="auto" w:fill="auto"/>
          </w:tcPr>
          <w:p w:rsidR="0052286D" w:rsidRPr="00E97CE7" w:rsidRDefault="0052286D" w:rsidP="003D23D7">
            <w:pPr>
              <w:spacing w:after="120"/>
              <w:rPr>
                <w:b/>
                <w:color w:val="auto"/>
              </w:rPr>
            </w:pPr>
          </w:p>
        </w:tc>
        <w:tc>
          <w:tcPr>
            <w:tcW w:w="992" w:type="dxa"/>
            <w:tcBorders>
              <w:top w:val="single" w:sz="2" w:space="0" w:color="A6A6A6"/>
              <w:bottom w:val="single" w:sz="2" w:space="0" w:color="A6A6A6"/>
            </w:tcBorders>
            <w:shd w:val="clear" w:color="auto" w:fill="auto"/>
          </w:tcPr>
          <w:p w:rsidR="0052286D" w:rsidRPr="00E97CE7" w:rsidRDefault="0052286D" w:rsidP="003D23D7">
            <w:pPr>
              <w:rPr>
                <w:rFonts w:ascii="Calibri" w:hAnsi="Calibri"/>
                <w:b/>
                <w:color w:val="auto"/>
                <w:sz w:val="18"/>
                <w:szCs w:val="18"/>
              </w:rPr>
            </w:pPr>
            <w:r w:rsidRPr="00E97CE7">
              <w:rPr>
                <w:rFonts w:ascii="Calibri" w:hAnsi="Calibri"/>
                <w:b/>
                <w:color w:val="auto"/>
                <w:sz w:val="18"/>
                <w:szCs w:val="18"/>
              </w:rPr>
              <w:t>Hale</w:t>
            </w:r>
          </w:p>
        </w:tc>
        <w:tc>
          <w:tcPr>
            <w:tcW w:w="7348" w:type="dxa"/>
            <w:tcBorders>
              <w:top w:val="single" w:sz="2" w:space="0" w:color="A6A6A6"/>
              <w:bottom w:val="single" w:sz="2" w:space="0" w:color="A6A6A6"/>
            </w:tcBorders>
            <w:shd w:val="clear" w:color="auto" w:fill="auto"/>
          </w:tcPr>
          <w:p w:rsidR="0052286D" w:rsidRPr="009C2A96" w:rsidRDefault="00925BB6" w:rsidP="00F37F9A">
            <w:pPr>
              <w:pStyle w:val="NormalWeb"/>
              <w:spacing w:before="0" w:after="0"/>
              <w:rPr>
                <w:rFonts w:asciiTheme="minorHAnsi" w:hAnsiTheme="minorHAnsi" w:cs="Arial"/>
                <w:color w:val="000000" w:themeColor="text1"/>
                <w:sz w:val="18"/>
                <w:szCs w:val="18"/>
              </w:rPr>
            </w:pPr>
            <w:r w:rsidRPr="009C2A96">
              <w:rPr>
                <w:rFonts w:asciiTheme="minorHAnsi" w:hAnsiTheme="minorHAnsi" w:cs="Arial"/>
                <w:color w:val="000000" w:themeColor="text1"/>
                <w:sz w:val="18"/>
                <w:szCs w:val="18"/>
              </w:rPr>
              <w:t xml:space="preserve">In a study of 3 women 4-6 months postpartum who received 100mg bd for 4d, the peak </w:t>
            </w:r>
            <w:r w:rsidRPr="009C2A96">
              <w:rPr>
                <w:rFonts w:asciiTheme="minorHAnsi" w:hAnsiTheme="minorHAnsi" w:cs="Arial"/>
                <w:color w:val="000000" w:themeColor="text1"/>
                <w:sz w:val="18"/>
                <w:szCs w:val="18"/>
              </w:rPr>
              <w:lastRenderedPageBreak/>
              <w:t xml:space="preserve">concentration of metoprolol ranged from 0.38 </w:t>
            </w:r>
            <w:proofErr w:type="gramStart"/>
            <w:r w:rsidRPr="009C2A96">
              <w:rPr>
                <w:rFonts w:asciiTheme="minorHAnsi" w:hAnsiTheme="minorHAnsi" w:cs="Arial"/>
                <w:color w:val="000000" w:themeColor="text1"/>
                <w:sz w:val="18"/>
                <w:szCs w:val="18"/>
              </w:rPr>
              <w:t>to 2.58 µ</w:t>
            </w:r>
            <w:proofErr w:type="spellStart"/>
            <w:r w:rsidRPr="009C2A96">
              <w:rPr>
                <w:rFonts w:asciiTheme="minorHAnsi" w:hAnsiTheme="minorHAnsi" w:cs="Arial"/>
                <w:color w:val="000000" w:themeColor="text1"/>
                <w:sz w:val="18"/>
                <w:szCs w:val="18"/>
              </w:rPr>
              <w:t>mol</w:t>
            </w:r>
            <w:proofErr w:type="spellEnd"/>
            <w:r w:rsidRPr="009C2A96">
              <w:rPr>
                <w:rFonts w:asciiTheme="minorHAnsi" w:hAnsiTheme="minorHAnsi" w:cs="Arial"/>
                <w:color w:val="000000" w:themeColor="text1"/>
                <w:sz w:val="18"/>
                <w:szCs w:val="18"/>
              </w:rPr>
              <w:t>/L,</w:t>
            </w:r>
            <w:proofErr w:type="gramEnd"/>
            <w:r w:rsidRPr="009C2A96">
              <w:rPr>
                <w:rFonts w:asciiTheme="minorHAnsi" w:hAnsiTheme="minorHAnsi" w:cs="Arial"/>
                <w:color w:val="000000" w:themeColor="text1"/>
                <w:sz w:val="18"/>
                <w:szCs w:val="18"/>
              </w:rPr>
              <w:t xml:space="preserve"> whereas the maternal plasma levels ranged from 0.1 to 0.97 µ</w:t>
            </w:r>
            <w:proofErr w:type="spellStart"/>
            <w:r w:rsidRPr="009C2A96">
              <w:rPr>
                <w:rFonts w:asciiTheme="minorHAnsi" w:hAnsiTheme="minorHAnsi" w:cs="Arial"/>
                <w:color w:val="000000" w:themeColor="text1"/>
                <w:sz w:val="18"/>
                <w:szCs w:val="18"/>
              </w:rPr>
              <w:t>mol</w:t>
            </w:r>
            <w:proofErr w:type="spellEnd"/>
            <w:r w:rsidRPr="009C2A96">
              <w:rPr>
                <w:rFonts w:asciiTheme="minorHAnsi" w:hAnsiTheme="minorHAnsi" w:cs="Arial"/>
                <w:color w:val="000000" w:themeColor="text1"/>
                <w:sz w:val="18"/>
                <w:szCs w:val="18"/>
              </w:rPr>
              <w:t xml:space="preserve">/L. The mean M/P was 3. Assuming ingestion of 75 mL of milk at each feeding, and the maximum concentration </w:t>
            </w:r>
            <w:proofErr w:type="gramStart"/>
            <w:r w:rsidRPr="009C2A96">
              <w:rPr>
                <w:rFonts w:asciiTheme="minorHAnsi" w:hAnsiTheme="minorHAnsi" w:cs="Arial"/>
                <w:color w:val="000000" w:themeColor="text1"/>
                <w:sz w:val="18"/>
                <w:szCs w:val="18"/>
              </w:rPr>
              <w:t>of 2.58 µ</w:t>
            </w:r>
            <w:proofErr w:type="spellStart"/>
            <w:r w:rsidRPr="009C2A96">
              <w:rPr>
                <w:rFonts w:asciiTheme="minorHAnsi" w:hAnsiTheme="minorHAnsi" w:cs="Arial"/>
                <w:color w:val="000000" w:themeColor="text1"/>
                <w:sz w:val="18"/>
                <w:szCs w:val="18"/>
              </w:rPr>
              <w:t>mol</w:t>
            </w:r>
            <w:proofErr w:type="spellEnd"/>
            <w:r w:rsidRPr="009C2A96">
              <w:rPr>
                <w:rFonts w:asciiTheme="minorHAnsi" w:hAnsiTheme="minorHAnsi" w:cs="Arial"/>
                <w:color w:val="000000" w:themeColor="text1"/>
                <w:sz w:val="18"/>
                <w:szCs w:val="18"/>
              </w:rPr>
              <w:t>/L,</w:t>
            </w:r>
            <w:proofErr w:type="gramEnd"/>
            <w:r w:rsidRPr="009C2A96">
              <w:rPr>
                <w:rFonts w:asciiTheme="minorHAnsi" w:hAnsiTheme="minorHAnsi" w:cs="Arial"/>
                <w:color w:val="000000" w:themeColor="text1"/>
                <w:sz w:val="18"/>
                <w:szCs w:val="18"/>
              </w:rPr>
              <w:t xml:space="preserve"> an infant would </w:t>
            </w:r>
            <w:proofErr w:type="spellStart"/>
            <w:r w:rsidRPr="009C2A96">
              <w:rPr>
                <w:rFonts w:asciiTheme="minorHAnsi" w:hAnsiTheme="minorHAnsi" w:cs="Arial"/>
                <w:color w:val="000000" w:themeColor="text1"/>
                <w:sz w:val="18"/>
                <w:szCs w:val="18"/>
              </w:rPr>
              <w:t>ingest</w:t>
            </w:r>
            <w:proofErr w:type="spellEnd"/>
            <w:r w:rsidRPr="009C2A96">
              <w:rPr>
                <w:rFonts w:asciiTheme="minorHAnsi" w:hAnsiTheme="minorHAnsi" w:cs="Arial"/>
                <w:color w:val="000000" w:themeColor="text1"/>
                <w:sz w:val="18"/>
                <w:szCs w:val="18"/>
              </w:rPr>
              <w:t xml:space="preserve"> approximately 0.05 mg metoprolol at the first feeding and considerably less at subsequent feedings. In another study of 9 women receiving 50-100 mg bd, the maternal plasma and milk concentrations ranged from 4-556 </w:t>
            </w:r>
            <w:proofErr w:type="spellStart"/>
            <w:r w:rsidRPr="009C2A96">
              <w:rPr>
                <w:rFonts w:asciiTheme="minorHAnsi" w:hAnsiTheme="minorHAnsi" w:cs="Arial"/>
                <w:color w:val="000000" w:themeColor="text1"/>
                <w:sz w:val="18"/>
                <w:szCs w:val="18"/>
              </w:rPr>
              <w:t>nmol</w:t>
            </w:r>
            <w:proofErr w:type="spellEnd"/>
            <w:r w:rsidRPr="009C2A96">
              <w:rPr>
                <w:rFonts w:asciiTheme="minorHAnsi" w:hAnsiTheme="minorHAnsi" w:cs="Arial"/>
                <w:color w:val="000000" w:themeColor="text1"/>
                <w:sz w:val="18"/>
                <w:szCs w:val="18"/>
              </w:rPr>
              <w:t xml:space="preserve">/L and 19-1690 </w:t>
            </w:r>
            <w:proofErr w:type="spellStart"/>
            <w:r w:rsidRPr="009C2A96">
              <w:rPr>
                <w:rFonts w:asciiTheme="minorHAnsi" w:hAnsiTheme="minorHAnsi" w:cs="Arial"/>
                <w:color w:val="000000" w:themeColor="text1"/>
                <w:sz w:val="18"/>
                <w:szCs w:val="18"/>
              </w:rPr>
              <w:t>nmol</w:t>
            </w:r>
            <w:proofErr w:type="spellEnd"/>
            <w:r w:rsidRPr="009C2A96">
              <w:rPr>
                <w:rFonts w:asciiTheme="minorHAnsi" w:hAnsiTheme="minorHAnsi" w:cs="Arial"/>
                <w:color w:val="000000" w:themeColor="text1"/>
                <w:sz w:val="18"/>
                <w:szCs w:val="18"/>
              </w:rPr>
              <w:t xml:space="preserve">/L respectively. Using this data, an average milk conc throughout the day as 280 µg/L of milk. This dose is 20-40 times less than a typical clinical dose. The M/P in these studies averaged 3.72. Although the M/Ps for this drug </w:t>
            </w:r>
            <w:proofErr w:type="gramStart"/>
            <w:r w:rsidRPr="009C2A96">
              <w:rPr>
                <w:rFonts w:asciiTheme="minorHAnsi" w:hAnsiTheme="minorHAnsi" w:cs="Arial"/>
                <w:color w:val="000000" w:themeColor="text1"/>
                <w:sz w:val="18"/>
                <w:szCs w:val="18"/>
              </w:rPr>
              <w:t>are</w:t>
            </w:r>
            <w:proofErr w:type="gramEnd"/>
            <w:r w:rsidRPr="009C2A96">
              <w:rPr>
                <w:rFonts w:asciiTheme="minorHAnsi" w:hAnsiTheme="minorHAnsi" w:cs="Arial"/>
                <w:color w:val="000000" w:themeColor="text1"/>
                <w:sz w:val="18"/>
                <w:szCs w:val="18"/>
              </w:rPr>
              <w:t xml:space="preserve"> in general high, the maternal plasma levels are quite small so the absolute amount transferred to the infant are quite small. Although these levels are probably too low to be clinically relevant, clinicians should use metoprolol under close supervision.</w:t>
            </w:r>
            <w:r w:rsidRPr="009C2A96">
              <w:rPr>
                <w:rFonts w:asciiTheme="minorHAnsi" w:hAnsiTheme="minorHAnsi"/>
                <w:color w:val="000000" w:themeColor="text1"/>
                <w:sz w:val="18"/>
                <w:szCs w:val="18"/>
              </w:rPr>
              <w:t xml:space="preserve"> </w:t>
            </w:r>
            <w:r w:rsidR="009C2A96" w:rsidRPr="009C2A96">
              <w:rPr>
                <w:rFonts w:asciiTheme="minorHAnsi" w:hAnsiTheme="minorHAnsi"/>
                <w:color w:val="000000" w:themeColor="text1"/>
                <w:sz w:val="18"/>
                <w:szCs w:val="18"/>
              </w:rPr>
              <w:t>T</w:t>
            </w:r>
            <w:r w:rsidR="009C2A96" w:rsidRPr="009C2A96">
              <w:rPr>
                <w:rFonts w:asciiTheme="minorHAnsi" w:hAnsiTheme="minorHAnsi"/>
                <w:b/>
                <w:sz w:val="18"/>
                <w:szCs w:val="18"/>
              </w:rPr>
              <w:t xml:space="preserve">½ </w:t>
            </w:r>
            <w:r w:rsidRPr="009C2A96">
              <w:rPr>
                <w:rFonts w:asciiTheme="minorHAnsi" w:hAnsiTheme="minorHAnsi"/>
                <w:color w:val="000000" w:themeColor="text1"/>
                <w:sz w:val="18"/>
                <w:szCs w:val="18"/>
              </w:rPr>
              <w:t>3-7</w:t>
            </w:r>
            <w:r w:rsidR="00142D40" w:rsidRPr="009C2A96">
              <w:rPr>
                <w:rFonts w:asciiTheme="minorHAnsi" w:hAnsiTheme="minorHAnsi"/>
                <w:color w:val="000000" w:themeColor="text1"/>
                <w:sz w:val="18"/>
                <w:szCs w:val="18"/>
              </w:rPr>
              <w:t xml:space="preserve">h. M/P </w:t>
            </w:r>
            <w:r w:rsidR="008A4E21" w:rsidRPr="009C2A96">
              <w:rPr>
                <w:rFonts w:asciiTheme="minorHAnsi" w:hAnsiTheme="minorHAnsi"/>
                <w:color w:val="000000" w:themeColor="text1"/>
                <w:sz w:val="18"/>
                <w:szCs w:val="18"/>
              </w:rPr>
              <w:t>3-3.7.</w:t>
            </w:r>
            <w:r w:rsidR="00142D40" w:rsidRPr="009C2A96">
              <w:rPr>
                <w:rFonts w:asciiTheme="minorHAnsi" w:hAnsiTheme="minorHAnsi"/>
                <w:color w:val="000000" w:themeColor="text1"/>
                <w:sz w:val="18"/>
                <w:szCs w:val="18"/>
              </w:rPr>
              <w:t xml:space="preserve"> PB </w:t>
            </w:r>
            <w:r w:rsidR="008A4E21" w:rsidRPr="009C2A96">
              <w:rPr>
                <w:rFonts w:asciiTheme="minorHAnsi" w:hAnsiTheme="minorHAnsi"/>
                <w:color w:val="000000" w:themeColor="text1"/>
                <w:sz w:val="18"/>
                <w:szCs w:val="18"/>
              </w:rPr>
              <w:t>10</w:t>
            </w:r>
            <w:r w:rsidR="00142D40" w:rsidRPr="009C2A96">
              <w:rPr>
                <w:rFonts w:asciiTheme="minorHAnsi" w:hAnsiTheme="minorHAnsi"/>
                <w:color w:val="000000" w:themeColor="text1"/>
                <w:sz w:val="18"/>
                <w:szCs w:val="18"/>
              </w:rPr>
              <w:t xml:space="preserve">%. Oral </w:t>
            </w:r>
            <w:r w:rsidR="008A4E21" w:rsidRPr="009C2A96">
              <w:rPr>
                <w:rFonts w:asciiTheme="minorHAnsi" w:hAnsiTheme="minorHAnsi"/>
                <w:color w:val="000000" w:themeColor="text1"/>
                <w:sz w:val="18"/>
                <w:szCs w:val="18"/>
              </w:rPr>
              <w:t>40-50</w:t>
            </w:r>
            <w:r w:rsidR="00142D40" w:rsidRPr="009C2A96">
              <w:rPr>
                <w:rFonts w:asciiTheme="minorHAnsi" w:hAnsiTheme="minorHAnsi"/>
                <w:color w:val="000000" w:themeColor="text1"/>
                <w:sz w:val="18"/>
                <w:szCs w:val="18"/>
              </w:rPr>
              <w:t>%</w:t>
            </w:r>
            <w:r w:rsidR="008A4E21" w:rsidRPr="009C2A96">
              <w:rPr>
                <w:rFonts w:asciiTheme="minorHAnsi" w:hAnsiTheme="minorHAnsi"/>
                <w:color w:val="000000" w:themeColor="text1"/>
                <w:sz w:val="18"/>
                <w:szCs w:val="18"/>
              </w:rPr>
              <w:t xml:space="preserve">. </w:t>
            </w:r>
            <w:proofErr w:type="spellStart"/>
            <w:proofErr w:type="gramStart"/>
            <w:r w:rsidR="008A4E21" w:rsidRPr="009C2A96">
              <w:rPr>
                <w:rFonts w:asciiTheme="minorHAnsi" w:hAnsiTheme="minorHAnsi"/>
                <w:color w:val="000000" w:themeColor="text1"/>
                <w:sz w:val="18"/>
                <w:szCs w:val="18"/>
              </w:rPr>
              <w:t>pKa</w:t>
            </w:r>
            <w:proofErr w:type="spellEnd"/>
            <w:proofErr w:type="gramEnd"/>
            <w:r w:rsidR="008A4E21" w:rsidRPr="009C2A96">
              <w:rPr>
                <w:rFonts w:asciiTheme="minorHAnsi" w:hAnsiTheme="minorHAnsi"/>
                <w:color w:val="000000" w:themeColor="text1"/>
                <w:sz w:val="18"/>
                <w:szCs w:val="18"/>
              </w:rPr>
              <w:t xml:space="preserve"> 9.7</w:t>
            </w:r>
            <w:r w:rsidR="00142D40" w:rsidRPr="009C2A96">
              <w:rPr>
                <w:rFonts w:asciiTheme="minorHAnsi" w:hAnsiTheme="minorHAnsi"/>
                <w:color w:val="000000" w:themeColor="text1"/>
                <w:sz w:val="18"/>
                <w:szCs w:val="18"/>
              </w:rPr>
              <w:t xml:space="preserve">. Cat </w:t>
            </w:r>
            <w:r w:rsidR="008A4E21" w:rsidRPr="009C2A96">
              <w:rPr>
                <w:rFonts w:asciiTheme="minorHAnsi" w:hAnsiTheme="minorHAnsi" w:cs="Arial"/>
                <w:color w:val="000000" w:themeColor="text1"/>
                <w:sz w:val="18"/>
                <w:szCs w:val="18"/>
              </w:rPr>
              <w:t>L2 - Limited Data-Probably Compatible</w:t>
            </w:r>
          </w:p>
        </w:tc>
      </w:tr>
      <w:tr w:rsidR="0052286D" w:rsidRPr="001768FD" w:rsidTr="003D23D7">
        <w:tc>
          <w:tcPr>
            <w:tcW w:w="1986" w:type="dxa"/>
            <w:vMerge/>
            <w:tcBorders>
              <w:top w:val="single" w:sz="2" w:space="0" w:color="A6A6A6"/>
              <w:bottom w:val="single" w:sz="2" w:space="0" w:color="A6A6A6"/>
            </w:tcBorders>
            <w:shd w:val="clear" w:color="auto" w:fill="auto"/>
          </w:tcPr>
          <w:p w:rsidR="0052286D" w:rsidRPr="00E97CE7" w:rsidRDefault="0052286D" w:rsidP="003D23D7">
            <w:pPr>
              <w:spacing w:after="120"/>
              <w:rPr>
                <w:b/>
                <w:color w:val="auto"/>
              </w:rPr>
            </w:pPr>
          </w:p>
        </w:tc>
        <w:tc>
          <w:tcPr>
            <w:tcW w:w="992" w:type="dxa"/>
            <w:tcBorders>
              <w:top w:val="single" w:sz="2" w:space="0" w:color="A6A6A6"/>
              <w:bottom w:val="single" w:sz="2" w:space="0" w:color="A6A6A6"/>
            </w:tcBorders>
            <w:shd w:val="clear" w:color="auto" w:fill="auto"/>
          </w:tcPr>
          <w:p w:rsidR="0052286D" w:rsidRPr="00E97CE7" w:rsidRDefault="0052286D" w:rsidP="003D23D7">
            <w:pPr>
              <w:rPr>
                <w:rFonts w:ascii="Calibri" w:hAnsi="Calibri"/>
                <w:b/>
                <w:color w:val="auto"/>
                <w:sz w:val="18"/>
                <w:szCs w:val="18"/>
              </w:rPr>
            </w:pPr>
            <w:r w:rsidRPr="00E97CE7">
              <w:rPr>
                <w:rFonts w:ascii="Calibri" w:hAnsi="Calibri"/>
                <w:b/>
                <w:color w:val="auto"/>
                <w:sz w:val="18"/>
                <w:szCs w:val="18"/>
              </w:rPr>
              <w:t>Briggs</w:t>
            </w:r>
          </w:p>
        </w:tc>
        <w:tc>
          <w:tcPr>
            <w:tcW w:w="7348" w:type="dxa"/>
            <w:tcBorders>
              <w:top w:val="single" w:sz="2" w:space="0" w:color="A6A6A6"/>
              <w:bottom w:val="single" w:sz="2" w:space="0" w:color="A6A6A6"/>
            </w:tcBorders>
            <w:shd w:val="clear" w:color="auto" w:fill="auto"/>
          </w:tcPr>
          <w:p w:rsidR="0052286D" w:rsidRPr="009C2A96" w:rsidRDefault="00716B59" w:rsidP="003D23D7">
            <w:pPr>
              <w:rPr>
                <w:rFonts w:asciiTheme="minorHAnsi" w:hAnsiTheme="minorHAnsi"/>
                <w:color w:val="000000" w:themeColor="text1"/>
                <w:sz w:val="18"/>
                <w:szCs w:val="18"/>
              </w:rPr>
            </w:pPr>
            <w:r w:rsidRPr="009C2A96">
              <w:rPr>
                <w:rFonts w:asciiTheme="minorHAnsi" w:hAnsiTheme="minorHAnsi"/>
                <w:sz w:val="18"/>
                <w:szCs w:val="18"/>
              </w:rPr>
              <w:t>Limited Human Data—Potential Toxicity</w:t>
            </w:r>
          </w:p>
        </w:tc>
      </w:tr>
      <w:tr w:rsidR="0052286D" w:rsidRPr="001768FD" w:rsidTr="003D23D7">
        <w:tc>
          <w:tcPr>
            <w:tcW w:w="1986" w:type="dxa"/>
            <w:vMerge/>
            <w:tcBorders>
              <w:top w:val="single" w:sz="2" w:space="0" w:color="A6A6A6"/>
              <w:bottom w:val="single" w:sz="2" w:space="0" w:color="000000"/>
            </w:tcBorders>
            <w:shd w:val="clear" w:color="auto" w:fill="auto"/>
          </w:tcPr>
          <w:p w:rsidR="0052286D" w:rsidRPr="00E97CE7" w:rsidRDefault="0052286D" w:rsidP="003D23D7">
            <w:pPr>
              <w:spacing w:after="120"/>
              <w:rPr>
                <w:b/>
                <w:color w:val="auto"/>
              </w:rPr>
            </w:pPr>
          </w:p>
        </w:tc>
        <w:tc>
          <w:tcPr>
            <w:tcW w:w="992" w:type="dxa"/>
            <w:tcBorders>
              <w:top w:val="single" w:sz="2" w:space="0" w:color="A6A6A6"/>
              <w:bottom w:val="single" w:sz="2" w:space="0" w:color="000000"/>
            </w:tcBorders>
            <w:shd w:val="clear" w:color="auto" w:fill="auto"/>
          </w:tcPr>
          <w:p w:rsidR="0052286D" w:rsidRPr="00E97CE7" w:rsidRDefault="0052286D" w:rsidP="003D23D7">
            <w:pPr>
              <w:rPr>
                <w:rFonts w:ascii="Calibri" w:hAnsi="Calibri"/>
                <w:b/>
                <w:color w:val="auto"/>
                <w:sz w:val="18"/>
                <w:szCs w:val="18"/>
              </w:rPr>
            </w:pPr>
          </w:p>
        </w:tc>
        <w:tc>
          <w:tcPr>
            <w:tcW w:w="7348" w:type="dxa"/>
            <w:tcBorders>
              <w:top w:val="single" w:sz="2" w:space="0" w:color="A6A6A6"/>
              <w:bottom w:val="single" w:sz="2" w:space="0" w:color="000000"/>
            </w:tcBorders>
            <w:shd w:val="clear" w:color="auto" w:fill="auto"/>
          </w:tcPr>
          <w:p w:rsidR="0052286D" w:rsidRPr="009C2A96" w:rsidRDefault="0052286D" w:rsidP="003D23D7">
            <w:pPr>
              <w:rPr>
                <w:rFonts w:asciiTheme="minorHAnsi" w:hAnsiTheme="minorHAnsi"/>
                <w:color w:val="000000" w:themeColor="text1"/>
                <w:sz w:val="18"/>
                <w:szCs w:val="18"/>
              </w:rPr>
            </w:pPr>
          </w:p>
        </w:tc>
      </w:tr>
      <w:tr w:rsidR="009A6ACB" w:rsidRPr="00994955" w:rsidTr="003D23D7">
        <w:tc>
          <w:tcPr>
            <w:tcW w:w="1986" w:type="dxa"/>
            <w:vMerge w:val="restart"/>
            <w:tcBorders>
              <w:top w:val="single" w:sz="2" w:space="0" w:color="000000"/>
              <w:bottom w:val="single" w:sz="2" w:space="0" w:color="A6A6A6"/>
            </w:tcBorders>
            <w:shd w:val="clear" w:color="auto" w:fill="auto"/>
          </w:tcPr>
          <w:p w:rsidR="009A6ACB" w:rsidRPr="00E97CE7" w:rsidRDefault="00E70375" w:rsidP="003D23D7">
            <w:pPr>
              <w:spacing w:after="120"/>
              <w:rPr>
                <w:b/>
                <w:color w:val="auto"/>
              </w:rPr>
            </w:pPr>
            <w:r>
              <w:rPr>
                <w:b/>
                <w:color w:val="auto"/>
              </w:rPr>
              <w:t>Nadolol</w:t>
            </w:r>
          </w:p>
        </w:tc>
        <w:tc>
          <w:tcPr>
            <w:tcW w:w="992" w:type="dxa"/>
            <w:tcBorders>
              <w:top w:val="single" w:sz="2" w:space="0" w:color="000000"/>
              <w:bottom w:val="single" w:sz="2" w:space="0" w:color="A6A6A6"/>
            </w:tcBorders>
            <w:shd w:val="clear" w:color="auto" w:fill="auto"/>
          </w:tcPr>
          <w:p w:rsidR="009A6ACB" w:rsidRPr="00E97CE7" w:rsidRDefault="009A6ACB" w:rsidP="003D23D7">
            <w:pPr>
              <w:rPr>
                <w:rFonts w:ascii="Calibri" w:hAnsi="Calibri"/>
                <w:b/>
                <w:color w:val="auto"/>
                <w:sz w:val="18"/>
                <w:szCs w:val="18"/>
              </w:rPr>
            </w:pPr>
            <w:r w:rsidRPr="00E97CE7">
              <w:rPr>
                <w:rFonts w:ascii="Calibri" w:hAnsi="Calibri"/>
                <w:b/>
                <w:color w:val="auto"/>
                <w:sz w:val="18"/>
                <w:szCs w:val="18"/>
              </w:rPr>
              <w:t>LactMed</w:t>
            </w:r>
          </w:p>
        </w:tc>
        <w:tc>
          <w:tcPr>
            <w:tcW w:w="7348" w:type="dxa"/>
            <w:tcBorders>
              <w:top w:val="single" w:sz="2" w:space="0" w:color="000000"/>
              <w:bottom w:val="single" w:sz="2" w:space="0" w:color="A6A6A6"/>
            </w:tcBorders>
            <w:shd w:val="clear" w:color="auto" w:fill="auto"/>
          </w:tcPr>
          <w:p w:rsidR="009A6ACB" w:rsidRPr="009C2A96" w:rsidRDefault="004D6B43" w:rsidP="003D23D7">
            <w:pPr>
              <w:rPr>
                <w:rFonts w:asciiTheme="minorHAnsi" w:hAnsiTheme="minorHAnsi"/>
                <w:b/>
                <w:color w:val="000000" w:themeColor="text1"/>
                <w:sz w:val="18"/>
                <w:szCs w:val="18"/>
              </w:rPr>
            </w:pPr>
            <w:r w:rsidRPr="009C2A96">
              <w:rPr>
                <w:rFonts w:asciiTheme="minorHAnsi" w:hAnsiTheme="minorHAnsi"/>
                <w:color w:val="000000" w:themeColor="text1"/>
                <w:sz w:val="18"/>
                <w:szCs w:val="18"/>
                <w:lang w:val="en"/>
              </w:rPr>
              <w:t>Because of its relatively extensive excretion into breastmilk and its renal excretion, other beta-adrenergic blocking drugs are preferred to nadolol, especially while nursing a newborn or preterm infant.</w:t>
            </w:r>
          </w:p>
        </w:tc>
      </w:tr>
      <w:tr w:rsidR="009A6ACB" w:rsidRPr="00994955" w:rsidTr="003D23D7">
        <w:tc>
          <w:tcPr>
            <w:tcW w:w="1986" w:type="dxa"/>
            <w:vMerge/>
            <w:tcBorders>
              <w:top w:val="single" w:sz="2" w:space="0" w:color="A6A6A6"/>
              <w:bottom w:val="single" w:sz="2" w:space="0" w:color="A6A6A6"/>
            </w:tcBorders>
            <w:shd w:val="clear" w:color="auto" w:fill="auto"/>
          </w:tcPr>
          <w:p w:rsidR="009A6ACB" w:rsidRPr="00E97CE7" w:rsidRDefault="009A6ACB" w:rsidP="003D23D7">
            <w:pPr>
              <w:spacing w:after="120"/>
              <w:rPr>
                <w:b/>
                <w:color w:val="auto"/>
              </w:rPr>
            </w:pPr>
          </w:p>
        </w:tc>
        <w:tc>
          <w:tcPr>
            <w:tcW w:w="992" w:type="dxa"/>
            <w:tcBorders>
              <w:top w:val="single" w:sz="2" w:space="0" w:color="A6A6A6"/>
              <w:bottom w:val="single" w:sz="2" w:space="0" w:color="A6A6A6"/>
            </w:tcBorders>
            <w:shd w:val="clear" w:color="auto" w:fill="auto"/>
          </w:tcPr>
          <w:p w:rsidR="009A6ACB" w:rsidRPr="00E97CE7" w:rsidRDefault="009A6ACB" w:rsidP="003D23D7">
            <w:pPr>
              <w:rPr>
                <w:rFonts w:ascii="Calibri" w:hAnsi="Calibri"/>
                <w:b/>
                <w:color w:val="auto"/>
                <w:sz w:val="18"/>
                <w:szCs w:val="18"/>
              </w:rPr>
            </w:pPr>
            <w:r w:rsidRPr="00E97CE7">
              <w:rPr>
                <w:rFonts w:ascii="Calibri" w:hAnsi="Calibri"/>
                <w:b/>
                <w:color w:val="auto"/>
                <w:sz w:val="18"/>
                <w:szCs w:val="18"/>
              </w:rPr>
              <w:t>Hale</w:t>
            </w:r>
          </w:p>
        </w:tc>
        <w:tc>
          <w:tcPr>
            <w:tcW w:w="7348" w:type="dxa"/>
            <w:tcBorders>
              <w:top w:val="single" w:sz="2" w:space="0" w:color="A6A6A6"/>
              <w:bottom w:val="single" w:sz="2" w:space="0" w:color="A6A6A6"/>
            </w:tcBorders>
            <w:shd w:val="clear" w:color="auto" w:fill="auto"/>
          </w:tcPr>
          <w:p w:rsidR="009A6ACB" w:rsidRPr="009C2A96" w:rsidRDefault="008A4E21" w:rsidP="008A4E21">
            <w:pPr>
              <w:pStyle w:val="NormalWeb"/>
              <w:spacing w:before="0" w:after="0"/>
              <w:rPr>
                <w:rFonts w:asciiTheme="minorHAnsi" w:hAnsiTheme="minorHAnsi" w:cs="Arial"/>
                <w:color w:val="000000" w:themeColor="text1"/>
                <w:sz w:val="18"/>
                <w:szCs w:val="18"/>
              </w:rPr>
            </w:pPr>
            <w:r w:rsidRPr="009C2A96">
              <w:rPr>
                <w:rFonts w:asciiTheme="minorHAnsi" w:hAnsiTheme="minorHAnsi" w:cs="Arial"/>
                <w:color w:val="000000" w:themeColor="text1"/>
                <w:sz w:val="18"/>
                <w:szCs w:val="18"/>
              </w:rPr>
              <w:t xml:space="preserve">Nadolol is a long-acting beta blocker. It is secreted into breastmilk in moderately high concentrations. Following a maternal dose of 20 mg/day, breastmilk levels at 38 hours postpartum were </w:t>
            </w:r>
            <w:proofErr w:type="gramStart"/>
            <w:r w:rsidRPr="009C2A96">
              <w:rPr>
                <w:rFonts w:asciiTheme="minorHAnsi" w:hAnsiTheme="minorHAnsi" w:cs="Arial"/>
                <w:color w:val="000000" w:themeColor="text1"/>
                <w:sz w:val="18"/>
                <w:szCs w:val="18"/>
              </w:rPr>
              <w:t>146 µg/L.</w:t>
            </w:r>
            <w:proofErr w:type="gramEnd"/>
            <w:r w:rsidRPr="009C2A96">
              <w:rPr>
                <w:rFonts w:asciiTheme="minorHAnsi" w:hAnsiTheme="minorHAnsi" w:cs="Arial"/>
                <w:color w:val="000000" w:themeColor="text1"/>
                <w:sz w:val="18"/>
                <w:szCs w:val="18"/>
              </w:rPr>
              <w:t xml:space="preserve"> In another study of 12 women receiving 80 mg daily the mean steady-state concentrations in milk were </w:t>
            </w:r>
            <w:proofErr w:type="gramStart"/>
            <w:r w:rsidRPr="009C2A96">
              <w:rPr>
                <w:rFonts w:asciiTheme="minorHAnsi" w:hAnsiTheme="minorHAnsi" w:cs="Arial"/>
                <w:color w:val="000000" w:themeColor="text1"/>
                <w:sz w:val="18"/>
                <w:szCs w:val="18"/>
              </w:rPr>
              <w:t>357 µg/L.</w:t>
            </w:r>
            <w:proofErr w:type="gramEnd"/>
            <w:r w:rsidRPr="009C2A96">
              <w:rPr>
                <w:rFonts w:asciiTheme="minorHAnsi" w:hAnsiTheme="minorHAnsi" w:cs="Arial"/>
                <w:color w:val="000000" w:themeColor="text1"/>
                <w:sz w:val="18"/>
                <w:szCs w:val="18"/>
              </w:rPr>
              <w:t xml:space="preserve"> The time to maximum concentration was 6 hours. The milk/serum ratio was reported to average 4.6. A 5 kg infant would receive 4-7% of the maternal dose. The authors recommended caution with the use of this beta blocker in breastfeeding patients. Due to its long half-life and high milk/plasma ratio, this would not be a preferred beta blocker.</w:t>
            </w:r>
            <w:r w:rsidRPr="009C2A96">
              <w:rPr>
                <w:rFonts w:asciiTheme="minorHAnsi" w:hAnsiTheme="minorHAnsi"/>
                <w:color w:val="000000" w:themeColor="text1"/>
                <w:sz w:val="18"/>
                <w:szCs w:val="18"/>
              </w:rPr>
              <w:t xml:space="preserve"> </w:t>
            </w:r>
            <w:r w:rsidR="009C2A96" w:rsidRPr="009C2A96">
              <w:rPr>
                <w:rFonts w:asciiTheme="minorHAnsi" w:hAnsiTheme="minorHAnsi"/>
                <w:color w:val="000000" w:themeColor="text1"/>
                <w:sz w:val="18"/>
                <w:szCs w:val="18"/>
              </w:rPr>
              <w:t>T</w:t>
            </w:r>
            <w:r w:rsidR="009C2A96" w:rsidRPr="009C2A96">
              <w:rPr>
                <w:rFonts w:asciiTheme="minorHAnsi" w:hAnsiTheme="minorHAnsi"/>
                <w:b/>
                <w:sz w:val="18"/>
                <w:szCs w:val="18"/>
              </w:rPr>
              <w:t xml:space="preserve">½ </w:t>
            </w:r>
            <w:r w:rsidRPr="009C2A96">
              <w:rPr>
                <w:rFonts w:asciiTheme="minorHAnsi" w:hAnsiTheme="minorHAnsi"/>
                <w:color w:val="000000" w:themeColor="text1"/>
                <w:sz w:val="18"/>
                <w:szCs w:val="18"/>
              </w:rPr>
              <w:t xml:space="preserve">20-24h. M/P 4.6. PB 30%. Oral 20-40%. </w:t>
            </w:r>
            <w:proofErr w:type="spellStart"/>
            <w:proofErr w:type="gramStart"/>
            <w:r w:rsidRPr="009C2A96">
              <w:rPr>
                <w:rFonts w:asciiTheme="minorHAnsi" w:hAnsiTheme="minorHAnsi"/>
                <w:color w:val="000000" w:themeColor="text1"/>
                <w:sz w:val="18"/>
                <w:szCs w:val="18"/>
              </w:rPr>
              <w:t>pKa</w:t>
            </w:r>
            <w:proofErr w:type="spellEnd"/>
            <w:proofErr w:type="gramEnd"/>
            <w:r w:rsidRPr="009C2A96">
              <w:rPr>
                <w:rFonts w:asciiTheme="minorHAnsi" w:hAnsiTheme="minorHAnsi"/>
                <w:color w:val="000000" w:themeColor="text1"/>
                <w:sz w:val="18"/>
                <w:szCs w:val="18"/>
              </w:rPr>
              <w:t xml:space="preserve"> 9.7. Cat </w:t>
            </w:r>
            <w:r w:rsidRPr="009C2A96">
              <w:rPr>
                <w:rFonts w:asciiTheme="minorHAnsi" w:hAnsiTheme="minorHAnsi" w:cs="Arial"/>
                <w:color w:val="000000" w:themeColor="text1"/>
                <w:sz w:val="18"/>
                <w:szCs w:val="18"/>
              </w:rPr>
              <w:t>L4 - Limited Data-Possibly Hazardous</w:t>
            </w:r>
          </w:p>
        </w:tc>
      </w:tr>
      <w:tr w:rsidR="009A6ACB" w:rsidRPr="00994955" w:rsidTr="003D23D7">
        <w:tc>
          <w:tcPr>
            <w:tcW w:w="1986" w:type="dxa"/>
            <w:vMerge/>
            <w:tcBorders>
              <w:top w:val="single" w:sz="2" w:space="0" w:color="A6A6A6"/>
              <w:bottom w:val="single" w:sz="2" w:space="0" w:color="A6A6A6"/>
            </w:tcBorders>
            <w:shd w:val="clear" w:color="auto" w:fill="auto"/>
          </w:tcPr>
          <w:p w:rsidR="009A6ACB" w:rsidRPr="00E97CE7" w:rsidRDefault="009A6ACB" w:rsidP="003D23D7">
            <w:pPr>
              <w:spacing w:after="120"/>
              <w:rPr>
                <w:b/>
                <w:color w:val="auto"/>
              </w:rPr>
            </w:pPr>
          </w:p>
        </w:tc>
        <w:tc>
          <w:tcPr>
            <w:tcW w:w="992" w:type="dxa"/>
            <w:tcBorders>
              <w:top w:val="single" w:sz="2" w:space="0" w:color="A6A6A6"/>
              <w:bottom w:val="single" w:sz="2" w:space="0" w:color="A6A6A6"/>
            </w:tcBorders>
            <w:shd w:val="clear" w:color="auto" w:fill="auto"/>
          </w:tcPr>
          <w:p w:rsidR="009A6ACB" w:rsidRPr="00E97CE7" w:rsidRDefault="009A6ACB" w:rsidP="003D23D7">
            <w:pPr>
              <w:rPr>
                <w:rFonts w:ascii="Calibri" w:hAnsi="Calibri"/>
                <w:b/>
                <w:color w:val="auto"/>
                <w:sz w:val="18"/>
                <w:szCs w:val="18"/>
              </w:rPr>
            </w:pPr>
            <w:r w:rsidRPr="00E97CE7">
              <w:rPr>
                <w:rFonts w:ascii="Calibri" w:hAnsi="Calibri"/>
                <w:b/>
                <w:color w:val="auto"/>
                <w:sz w:val="18"/>
                <w:szCs w:val="18"/>
              </w:rPr>
              <w:t>Briggs</w:t>
            </w:r>
          </w:p>
        </w:tc>
        <w:tc>
          <w:tcPr>
            <w:tcW w:w="7348" w:type="dxa"/>
            <w:tcBorders>
              <w:top w:val="single" w:sz="2" w:space="0" w:color="A6A6A6"/>
              <w:bottom w:val="single" w:sz="2" w:space="0" w:color="A6A6A6"/>
            </w:tcBorders>
            <w:shd w:val="clear" w:color="auto" w:fill="auto"/>
          </w:tcPr>
          <w:p w:rsidR="009A6ACB" w:rsidRPr="009C2A96" w:rsidRDefault="00716B59" w:rsidP="003D23D7">
            <w:pPr>
              <w:rPr>
                <w:rFonts w:asciiTheme="minorHAnsi" w:hAnsiTheme="minorHAnsi"/>
                <w:color w:val="000000" w:themeColor="text1"/>
                <w:sz w:val="18"/>
                <w:szCs w:val="18"/>
              </w:rPr>
            </w:pPr>
            <w:r w:rsidRPr="009C2A96">
              <w:rPr>
                <w:rFonts w:asciiTheme="minorHAnsi" w:hAnsiTheme="minorHAnsi"/>
                <w:sz w:val="18"/>
                <w:szCs w:val="18"/>
              </w:rPr>
              <w:t>Limited Human Data—Potential Toxicity</w:t>
            </w:r>
          </w:p>
        </w:tc>
      </w:tr>
      <w:tr w:rsidR="009A6ACB" w:rsidRPr="00994955" w:rsidTr="003D23D7">
        <w:tc>
          <w:tcPr>
            <w:tcW w:w="1986" w:type="dxa"/>
            <w:vMerge/>
            <w:tcBorders>
              <w:top w:val="single" w:sz="2" w:space="0" w:color="A6A6A6"/>
              <w:bottom w:val="single" w:sz="2" w:space="0" w:color="000000"/>
            </w:tcBorders>
            <w:shd w:val="clear" w:color="auto" w:fill="auto"/>
          </w:tcPr>
          <w:p w:rsidR="009A6ACB" w:rsidRPr="00E97CE7" w:rsidRDefault="009A6ACB" w:rsidP="003D23D7">
            <w:pPr>
              <w:spacing w:after="120"/>
              <w:rPr>
                <w:b/>
                <w:color w:val="auto"/>
              </w:rPr>
            </w:pPr>
          </w:p>
        </w:tc>
        <w:tc>
          <w:tcPr>
            <w:tcW w:w="992" w:type="dxa"/>
            <w:tcBorders>
              <w:top w:val="single" w:sz="2" w:space="0" w:color="A6A6A6"/>
              <w:bottom w:val="single" w:sz="2" w:space="0" w:color="000000"/>
            </w:tcBorders>
            <w:shd w:val="clear" w:color="auto" w:fill="auto"/>
          </w:tcPr>
          <w:p w:rsidR="009A6ACB" w:rsidRPr="00E97CE7" w:rsidRDefault="009A6ACB" w:rsidP="003D23D7">
            <w:pPr>
              <w:rPr>
                <w:rFonts w:ascii="Calibri" w:hAnsi="Calibri"/>
                <w:b/>
                <w:color w:val="auto"/>
                <w:sz w:val="18"/>
                <w:szCs w:val="18"/>
              </w:rPr>
            </w:pPr>
          </w:p>
        </w:tc>
        <w:tc>
          <w:tcPr>
            <w:tcW w:w="7348" w:type="dxa"/>
            <w:tcBorders>
              <w:top w:val="single" w:sz="2" w:space="0" w:color="A6A6A6"/>
              <w:bottom w:val="single" w:sz="2" w:space="0" w:color="000000"/>
            </w:tcBorders>
            <w:shd w:val="clear" w:color="auto" w:fill="auto"/>
          </w:tcPr>
          <w:p w:rsidR="009A6ACB" w:rsidRPr="009C2A96" w:rsidRDefault="009A6ACB" w:rsidP="003D23D7">
            <w:pPr>
              <w:rPr>
                <w:rFonts w:asciiTheme="minorHAnsi" w:hAnsiTheme="minorHAnsi"/>
                <w:color w:val="000000" w:themeColor="text1"/>
                <w:sz w:val="18"/>
                <w:szCs w:val="18"/>
              </w:rPr>
            </w:pPr>
          </w:p>
        </w:tc>
      </w:tr>
      <w:tr w:rsidR="00E70375" w:rsidRPr="00994955" w:rsidTr="003D23D7">
        <w:tc>
          <w:tcPr>
            <w:tcW w:w="1986" w:type="dxa"/>
            <w:vMerge w:val="restart"/>
            <w:tcBorders>
              <w:bottom w:val="single" w:sz="2" w:space="0" w:color="A6A6A6"/>
            </w:tcBorders>
            <w:shd w:val="clear" w:color="auto" w:fill="auto"/>
          </w:tcPr>
          <w:p w:rsidR="00E70375" w:rsidRPr="00E97CE7" w:rsidRDefault="00E70375" w:rsidP="003D23D7">
            <w:pPr>
              <w:spacing w:after="120"/>
              <w:rPr>
                <w:b/>
                <w:color w:val="auto"/>
              </w:rPr>
            </w:pPr>
            <w:r>
              <w:rPr>
                <w:b/>
                <w:color w:val="auto"/>
              </w:rPr>
              <w:t>Nebivolol</w:t>
            </w:r>
          </w:p>
        </w:tc>
        <w:tc>
          <w:tcPr>
            <w:tcW w:w="992" w:type="dxa"/>
            <w:tcBorders>
              <w:top w:val="single" w:sz="2" w:space="0" w:color="000000"/>
              <w:bottom w:val="single" w:sz="2" w:space="0" w:color="A6A6A6"/>
            </w:tcBorders>
            <w:shd w:val="clear" w:color="auto" w:fill="auto"/>
          </w:tcPr>
          <w:p w:rsidR="00E70375" w:rsidRPr="00E97CE7" w:rsidRDefault="00E70375" w:rsidP="003D23D7">
            <w:pPr>
              <w:rPr>
                <w:rFonts w:ascii="Calibri" w:hAnsi="Calibri"/>
                <w:b/>
                <w:color w:val="auto"/>
                <w:sz w:val="18"/>
                <w:szCs w:val="18"/>
              </w:rPr>
            </w:pPr>
            <w:r w:rsidRPr="00E97CE7">
              <w:rPr>
                <w:rFonts w:ascii="Calibri" w:hAnsi="Calibri"/>
                <w:b/>
                <w:color w:val="auto"/>
                <w:sz w:val="18"/>
                <w:szCs w:val="18"/>
              </w:rPr>
              <w:t>LactMed</w:t>
            </w:r>
          </w:p>
        </w:tc>
        <w:tc>
          <w:tcPr>
            <w:tcW w:w="7348" w:type="dxa"/>
            <w:tcBorders>
              <w:top w:val="single" w:sz="2" w:space="0" w:color="000000"/>
              <w:bottom w:val="single" w:sz="2" w:space="0" w:color="A6A6A6"/>
            </w:tcBorders>
            <w:shd w:val="clear" w:color="auto" w:fill="auto"/>
          </w:tcPr>
          <w:p w:rsidR="00E70375" w:rsidRPr="009C2A96" w:rsidRDefault="004D6B43" w:rsidP="003D23D7">
            <w:pPr>
              <w:rPr>
                <w:rFonts w:asciiTheme="minorHAnsi" w:hAnsiTheme="minorHAnsi"/>
                <w:b/>
                <w:color w:val="000000" w:themeColor="text1"/>
                <w:sz w:val="18"/>
                <w:szCs w:val="18"/>
              </w:rPr>
            </w:pPr>
            <w:r w:rsidRPr="009C2A96">
              <w:rPr>
                <w:rFonts w:asciiTheme="minorHAnsi" w:hAnsiTheme="minorHAnsi"/>
                <w:color w:val="000000" w:themeColor="text1"/>
                <w:sz w:val="18"/>
                <w:szCs w:val="18"/>
                <w:lang w:val="en"/>
              </w:rPr>
              <w:t xml:space="preserve">Because no information is available on the use of </w:t>
            </w:r>
            <w:r w:rsidRPr="009C2A96">
              <w:rPr>
                <w:rStyle w:val="Strong"/>
                <w:rFonts w:asciiTheme="minorHAnsi" w:hAnsiTheme="minorHAnsi"/>
                <w:b w:val="0"/>
                <w:color w:val="000000" w:themeColor="text1"/>
                <w:sz w:val="18"/>
                <w:szCs w:val="18"/>
                <w:lang w:val="en"/>
              </w:rPr>
              <w:t>nebivolol</w:t>
            </w:r>
            <w:r w:rsidRPr="009C2A96">
              <w:rPr>
                <w:rFonts w:asciiTheme="minorHAnsi" w:hAnsiTheme="minorHAnsi"/>
                <w:color w:val="000000" w:themeColor="text1"/>
                <w:sz w:val="18"/>
                <w:szCs w:val="18"/>
                <w:lang w:val="en"/>
              </w:rPr>
              <w:t xml:space="preserve"> during breastfeeding, an alternate drug may be preferred, especially while nursing a newborn or preterm infant.</w:t>
            </w:r>
          </w:p>
        </w:tc>
      </w:tr>
      <w:tr w:rsidR="00E70375" w:rsidRPr="00994955" w:rsidTr="003D23D7">
        <w:tc>
          <w:tcPr>
            <w:tcW w:w="1986" w:type="dxa"/>
            <w:vMerge/>
            <w:tcBorders>
              <w:top w:val="single" w:sz="2" w:space="0" w:color="A6A6A6"/>
              <w:bottom w:val="single" w:sz="2" w:space="0" w:color="A6A6A6"/>
            </w:tcBorders>
            <w:shd w:val="clear" w:color="auto" w:fill="auto"/>
          </w:tcPr>
          <w:p w:rsidR="00E70375" w:rsidRPr="00E97CE7" w:rsidRDefault="00E70375" w:rsidP="003D23D7">
            <w:pPr>
              <w:spacing w:after="120"/>
              <w:rPr>
                <w:b/>
                <w:color w:val="auto"/>
              </w:rPr>
            </w:pPr>
          </w:p>
        </w:tc>
        <w:tc>
          <w:tcPr>
            <w:tcW w:w="992" w:type="dxa"/>
            <w:tcBorders>
              <w:top w:val="single" w:sz="2" w:space="0" w:color="A6A6A6"/>
              <w:bottom w:val="single" w:sz="2" w:space="0" w:color="A6A6A6"/>
            </w:tcBorders>
            <w:shd w:val="clear" w:color="auto" w:fill="auto"/>
          </w:tcPr>
          <w:p w:rsidR="00E70375" w:rsidRPr="00E97CE7" w:rsidRDefault="00E70375" w:rsidP="003D23D7">
            <w:pPr>
              <w:rPr>
                <w:rFonts w:ascii="Calibri" w:hAnsi="Calibri"/>
                <w:b/>
                <w:color w:val="auto"/>
                <w:sz w:val="18"/>
                <w:szCs w:val="18"/>
              </w:rPr>
            </w:pPr>
            <w:r w:rsidRPr="00E97CE7">
              <w:rPr>
                <w:rFonts w:ascii="Calibri" w:hAnsi="Calibri"/>
                <w:b/>
                <w:color w:val="auto"/>
                <w:sz w:val="18"/>
                <w:szCs w:val="18"/>
              </w:rPr>
              <w:t>Hale</w:t>
            </w:r>
          </w:p>
        </w:tc>
        <w:tc>
          <w:tcPr>
            <w:tcW w:w="7348" w:type="dxa"/>
            <w:tcBorders>
              <w:top w:val="single" w:sz="2" w:space="0" w:color="A6A6A6"/>
              <w:bottom w:val="single" w:sz="2" w:space="0" w:color="A6A6A6"/>
            </w:tcBorders>
            <w:shd w:val="clear" w:color="auto" w:fill="auto"/>
          </w:tcPr>
          <w:p w:rsidR="00E70375" w:rsidRPr="009C2A96" w:rsidRDefault="008A4E21" w:rsidP="008A4E21">
            <w:pPr>
              <w:rPr>
                <w:rFonts w:asciiTheme="minorHAnsi" w:hAnsiTheme="minorHAnsi"/>
                <w:b/>
                <w:color w:val="000000" w:themeColor="text1"/>
                <w:sz w:val="18"/>
                <w:szCs w:val="18"/>
              </w:rPr>
            </w:pPr>
            <w:r w:rsidRPr="009C2A96">
              <w:rPr>
                <w:rFonts w:asciiTheme="minorHAnsi" w:hAnsiTheme="minorHAnsi"/>
                <w:color w:val="000000" w:themeColor="text1"/>
                <w:sz w:val="18"/>
                <w:szCs w:val="18"/>
              </w:rPr>
              <w:t>No data are available on the transfer of this drug into human milk; however, an overview of the kinetics of this drug suggests that nebivolol will probably have minimal milk levels. Because of the potential for beta blockers to produce serious adverse reactions in nursing infants, especially bradycardia, nebivolol is not recommended during nursing at this time. T</w:t>
            </w:r>
            <w:r w:rsidR="009C2A96" w:rsidRPr="009C2A96">
              <w:rPr>
                <w:rFonts w:asciiTheme="minorHAnsi" w:hAnsiTheme="minorHAnsi"/>
                <w:color w:val="000000" w:themeColor="text1"/>
                <w:sz w:val="18"/>
                <w:szCs w:val="18"/>
              </w:rPr>
              <w:t xml:space="preserve"> T</w:t>
            </w:r>
            <w:r w:rsidR="009C2A96" w:rsidRPr="009C2A96">
              <w:rPr>
                <w:rFonts w:asciiTheme="minorHAnsi" w:hAnsiTheme="minorHAnsi"/>
                <w:b/>
                <w:color w:val="auto"/>
                <w:sz w:val="18"/>
                <w:szCs w:val="18"/>
              </w:rPr>
              <w:t xml:space="preserve">½ </w:t>
            </w:r>
            <w:r w:rsidRPr="009C2A96">
              <w:rPr>
                <w:rFonts w:asciiTheme="minorHAnsi" w:hAnsiTheme="minorHAnsi"/>
                <w:color w:val="000000" w:themeColor="text1"/>
                <w:sz w:val="18"/>
                <w:szCs w:val="18"/>
              </w:rPr>
              <w:t>12-19</w:t>
            </w:r>
            <w:r w:rsidR="00142D40" w:rsidRPr="009C2A96">
              <w:rPr>
                <w:rFonts w:asciiTheme="minorHAnsi" w:hAnsiTheme="minorHAnsi"/>
                <w:color w:val="000000" w:themeColor="text1"/>
                <w:sz w:val="18"/>
                <w:szCs w:val="18"/>
              </w:rPr>
              <w:t xml:space="preserve">h. </w:t>
            </w:r>
            <w:r w:rsidRPr="009C2A96">
              <w:rPr>
                <w:rFonts w:asciiTheme="minorHAnsi" w:hAnsiTheme="minorHAnsi"/>
                <w:color w:val="000000" w:themeColor="text1"/>
                <w:sz w:val="18"/>
                <w:szCs w:val="18"/>
              </w:rPr>
              <w:t>PB 98</w:t>
            </w:r>
            <w:r w:rsidR="00142D40" w:rsidRPr="009C2A96">
              <w:rPr>
                <w:rFonts w:asciiTheme="minorHAnsi" w:hAnsiTheme="minorHAnsi"/>
                <w:color w:val="000000" w:themeColor="text1"/>
                <w:sz w:val="18"/>
                <w:szCs w:val="18"/>
              </w:rPr>
              <w:t xml:space="preserve">%. Oral </w:t>
            </w:r>
            <w:r w:rsidRPr="009C2A96">
              <w:rPr>
                <w:rFonts w:asciiTheme="minorHAnsi" w:hAnsiTheme="minorHAnsi"/>
                <w:color w:val="000000" w:themeColor="text1"/>
                <w:sz w:val="18"/>
                <w:szCs w:val="18"/>
              </w:rPr>
              <w:t>12-96</w:t>
            </w:r>
            <w:r w:rsidR="00142D40" w:rsidRPr="009C2A96">
              <w:rPr>
                <w:rFonts w:asciiTheme="minorHAnsi" w:hAnsiTheme="minorHAnsi"/>
                <w:color w:val="000000" w:themeColor="text1"/>
                <w:sz w:val="18"/>
                <w:szCs w:val="18"/>
              </w:rPr>
              <w:t>%.</w:t>
            </w:r>
            <w:r w:rsidRPr="009C2A96">
              <w:rPr>
                <w:rFonts w:asciiTheme="minorHAnsi" w:hAnsiTheme="minorHAnsi"/>
                <w:color w:val="000000" w:themeColor="text1"/>
                <w:sz w:val="18"/>
                <w:szCs w:val="18"/>
              </w:rPr>
              <w:t xml:space="preserve"> Cat L3 - No Data-Probably Compatible</w:t>
            </w:r>
          </w:p>
        </w:tc>
      </w:tr>
      <w:tr w:rsidR="00E70375" w:rsidRPr="00994955" w:rsidTr="003D23D7">
        <w:tc>
          <w:tcPr>
            <w:tcW w:w="1986" w:type="dxa"/>
            <w:vMerge/>
            <w:tcBorders>
              <w:top w:val="single" w:sz="2" w:space="0" w:color="A6A6A6"/>
              <w:bottom w:val="single" w:sz="2" w:space="0" w:color="A6A6A6"/>
            </w:tcBorders>
            <w:shd w:val="clear" w:color="auto" w:fill="auto"/>
          </w:tcPr>
          <w:p w:rsidR="00E70375" w:rsidRPr="00E97CE7" w:rsidRDefault="00E70375" w:rsidP="003D23D7">
            <w:pPr>
              <w:spacing w:after="120"/>
              <w:rPr>
                <w:b/>
                <w:color w:val="auto"/>
              </w:rPr>
            </w:pPr>
          </w:p>
        </w:tc>
        <w:tc>
          <w:tcPr>
            <w:tcW w:w="992" w:type="dxa"/>
            <w:tcBorders>
              <w:top w:val="single" w:sz="2" w:space="0" w:color="A6A6A6"/>
              <w:bottom w:val="single" w:sz="2" w:space="0" w:color="A6A6A6"/>
            </w:tcBorders>
            <w:shd w:val="clear" w:color="auto" w:fill="auto"/>
          </w:tcPr>
          <w:p w:rsidR="00E70375" w:rsidRPr="00E97CE7" w:rsidRDefault="00E70375" w:rsidP="003D23D7">
            <w:pPr>
              <w:rPr>
                <w:rFonts w:ascii="Calibri" w:hAnsi="Calibri"/>
                <w:b/>
                <w:color w:val="auto"/>
                <w:sz w:val="18"/>
                <w:szCs w:val="18"/>
              </w:rPr>
            </w:pPr>
            <w:r w:rsidRPr="00E97CE7">
              <w:rPr>
                <w:rFonts w:ascii="Calibri" w:hAnsi="Calibri"/>
                <w:b/>
                <w:color w:val="auto"/>
                <w:sz w:val="18"/>
                <w:szCs w:val="18"/>
              </w:rPr>
              <w:t>Briggs</w:t>
            </w:r>
          </w:p>
        </w:tc>
        <w:tc>
          <w:tcPr>
            <w:tcW w:w="7348" w:type="dxa"/>
            <w:tcBorders>
              <w:top w:val="single" w:sz="2" w:space="0" w:color="A6A6A6"/>
              <w:bottom w:val="single" w:sz="2" w:space="0" w:color="A6A6A6"/>
            </w:tcBorders>
            <w:shd w:val="clear" w:color="auto" w:fill="auto"/>
          </w:tcPr>
          <w:p w:rsidR="00E70375" w:rsidRPr="009C2A96" w:rsidRDefault="00716B59" w:rsidP="003D23D7">
            <w:pPr>
              <w:rPr>
                <w:rFonts w:asciiTheme="minorHAnsi" w:hAnsiTheme="minorHAnsi"/>
                <w:color w:val="000000" w:themeColor="text1"/>
                <w:sz w:val="18"/>
                <w:szCs w:val="18"/>
              </w:rPr>
            </w:pPr>
            <w:r w:rsidRPr="009C2A96">
              <w:rPr>
                <w:rFonts w:asciiTheme="minorHAnsi" w:hAnsiTheme="minorHAnsi"/>
                <w:sz w:val="18"/>
                <w:szCs w:val="18"/>
              </w:rPr>
              <w:t>No Human Data—Potential Toxicity</w:t>
            </w:r>
          </w:p>
        </w:tc>
      </w:tr>
      <w:tr w:rsidR="00E70375" w:rsidRPr="00994955" w:rsidTr="003D23D7">
        <w:tc>
          <w:tcPr>
            <w:tcW w:w="1986" w:type="dxa"/>
            <w:vMerge/>
            <w:tcBorders>
              <w:top w:val="single" w:sz="2" w:space="0" w:color="A6A6A6"/>
              <w:bottom w:val="single" w:sz="2" w:space="0" w:color="000000"/>
            </w:tcBorders>
            <w:shd w:val="clear" w:color="auto" w:fill="auto"/>
          </w:tcPr>
          <w:p w:rsidR="00E70375" w:rsidRPr="00E97CE7" w:rsidRDefault="00E70375" w:rsidP="003D23D7">
            <w:pPr>
              <w:spacing w:after="120"/>
              <w:rPr>
                <w:b/>
                <w:color w:val="auto"/>
              </w:rPr>
            </w:pPr>
          </w:p>
        </w:tc>
        <w:tc>
          <w:tcPr>
            <w:tcW w:w="992" w:type="dxa"/>
            <w:tcBorders>
              <w:top w:val="single" w:sz="2" w:space="0" w:color="A6A6A6"/>
              <w:bottom w:val="single" w:sz="2" w:space="0" w:color="000000"/>
            </w:tcBorders>
            <w:shd w:val="clear" w:color="auto" w:fill="auto"/>
          </w:tcPr>
          <w:p w:rsidR="00E70375" w:rsidRPr="00E97CE7" w:rsidRDefault="00E70375" w:rsidP="003D23D7">
            <w:pPr>
              <w:rPr>
                <w:rFonts w:ascii="Calibri" w:hAnsi="Calibri"/>
                <w:b/>
                <w:color w:val="auto"/>
                <w:sz w:val="18"/>
                <w:szCs w:val="18"/>
              </w:rPr>
            </w:pPr>
          </w:p>
        </w:tc>
        <w:tc>
          <w:tcPr>
            <w:tcW w:w="7348" w:type="dxa"/>
            <w:tcBorders>
              <w:top w:val="single" w:sz="2" w:space="0" w:color="A6A6A6"/>
              <w:bottom w:val="single" w:sz="2" w:space="0" w:color="000000"/>
            </w:tcBorders>
            <w:shd w:val="clear" w:color="auto" w:fill="auto"/>
          </w:tcPr>
          <w:p w:rsidR="00E70375" w:rsidRPr="009C2A96" w:rsidRDefault="00E70375" w:rsidP="003D23D7">
            <w:pPr>
              <w:rPr>
                <w:rFonts w:asciiTheme="minorHAnsi" w:hAnsiTheme="minorHAnsi"/>
                <w:color w:val="000000" w:themeColor="text1"/>
                <w:sz w:val="18"/>
                <w:szCs w:val="18"/>
              </w:rPr>
            </w:pPr>
          </w:p>
        </w:tc>
      </w:tr>
      <w:tr w:rsidR="00DC4696" w:rsidRPr="00994955" w:rsidTr="003D23D7">
        <w:tc>
          <w:tcPr>
            <w:tcW w:w="1986" w:type="dxa"/>
            <w:vMerge w:val="restart"/>
            <w:tcBorders>
              <w:top w:val="single" w:sz="2" w:space="0" w:color="A6A6A6"/>
            </w:tcBorders>
            <w:shd w:val="clear" w:color="auto" w:fill="auto"/>
          </w:tcPr>
          <w:p w:rsidR="00DC4696" w:rsidRPr="0052286D" w:rsidRDefault="00DC4696" w:rsidP="003D23D7">
            <w:r>
              <w:rPr>
                <w:b/>
                <w:color w:val="auto"/>
              </w:rPr>
              <w:t>Oxprenolol</w:t>
            </w:r>
          </w:p>
        </w:tc>
        <w:tc>
          <w:tcPr>
            <w:tcW w:w="992" w:type="dxa"/>
            <w:shd w:val="clear" w:color="auto" w:fill="auto"/>
          </w:tcPr>
          <w:p w:rsidR="00DC4696" w:rsidRPr="00E97CE7" w:rsidRDefault="00DC4696" w:rsidP="003D23D7">
            <w:pPr>
              <w:rPr>
                <w:rFonts w:ascii="Calibri" w:hAnsi="Calibri"/>
                <w:b/>
                <w:color w:val="auto"/>
                <w:sz w:val="18"/>
                <w:szCs w:val="18"/>
              </w:rPr>
            </w:pPr>
            <w:r w:rsidRPr="00E97CE7">
              <w:rPr>
                <w:rFonts w:ascii="Calibri" w:hAnsi="Calibri"/>
                <w:b/>
                <w:color w:val="auto"/>
                <w:sz w:val="18"/>
                <w:szCs w:val="18"/>
              </w:rPr>
              <w:t>LactMed</w:t>
            </w:r>
          </w:p>
        </w:tc>
        <w:tc>
          <w:tcPr>
            <w:tcW w:w="7348" w:type="dxa"/>
            <w:shd w:val="clear" w:color="auto" w:fill="auto"/>
          </w:tcPr>
          <w:p w:rsidR="00DC4696" w:rsidRPr="009C2A96" w:rsidRDefault="00DC4696" w:rsidP="003D23D7">
            <w:pPr>
              <w:rPr>
                <w:rFonts w:asciiTheme="minorHAnsi" w:hAnsiTheme="minorHAnsi"/>
                <w:color w:val="000000" w:themeColor="text1"/>
                <w:sz w:val="18"/>
                <w:szCs w:val="18"/>
              </w:rPr>
            </w:pPr>
            <w:r w:rsidRPr="009C2A96">
              <w:rPr>
                <w:rFonts w:asciiTheme="minorHAnsi" w:hAnsiTheme="minorHAnsi"/>
                <w:color w:val="000000" w:themeColor="text1"/>
                <w:sz w:val="18"/>
                <w:szCs w:val="18"/>
              </w:rPr>
              <w:t>No entry</w:t>
            </w:r>
          </w:p>
        </w:tc>
      </w:tr>
      <w:tr w:rsidR="00DC4696" w:rsidRPr="00994955" w:rsidTr="003D23D7">
        <w:tc>
          <w:tcPr>
            <w:tcW w:w="1986" w:type="dxa"/>
            <w:vMerge/>
            <w:shd w:val="clear" w:color="auto" w:fill="auto"/>
          </w:tcPr>
          <w:p w:rsidR="00DC4696" w:rsidRPr="00E97CE7" w:rsidRDefault="00DC4696" w:rsidP="003D23D7">
            <w:pPr>
              <w:spacing w:after="120"/>
              <w:rPr>
                <w:b/>
                <w:color w:val="auto"/>
              </w:rPr>
            </w:pPr>
          </w:p>
        </w:tc>
        <w:tc>
          <w:tcPr>
            <w:tcW w:w="992" w:type="dxa"/>
            <w:shd w:val="clear" w:color="auto" w:fill="auto"/>
          </w:tcPr>
          <w:p w:rsidR="00DC4696" w:rsidRPr="00E97CE7" w:rsidRDefault="00DC4696" w:rsidP="003D23D7">
            <w:pPr>
              <w:rPr>
                <w:rFonts w:ascii="Calibri" w:hAnsi="Calibri"/>
                <w:b/>
                <w:color w:val="auto"/>
                <w:sz w:val="18"/>
                <w:szCs w:val="18"/>
              </w:rPr>
            </w:pPr>
            <w:r w:rsidRPr="00E97CE7">
              <w:rPr>
                <w:rFonts w:ascii="Calibri" w:hAnsi="Calibri"/>
                <w:b/>
                <w:color w:val="auto"/>
                <w:sz w:val="18"/>
                <w:szCs w:val="18"/>
              </w:rPr>
              <w:t>Hale</w:t>
            </w:r>
          </w:p>
        </w:tc>
        <w:tc>
          <w:tcPr>
            <w:tcW w:w="7348" w:type="dxa"/>
            <w:shd w:val="clear" w:color="auto" w:fill="auto"/>
          </w:tcPr>
          <w:p w:rsidR="00DC4696" w:rsidRPr="009C2A96" w:rsidRDefault="00DC4696" w:rsidP="003D23D7">
            <w:pPr>
              <w:rPr>
                <w:rFonts w:asciiTheme="minorHAnsi" w:hAnsiTheme="minorHAnsi"/>
                <w:color w:val="000000" w:themeColor="text1"/>
                <w:sz w:val="18"/>
                <w:szCs w:val="18"/>
              </w:rPr>
            </w:pPr>
            <w:r w:rsidRPr="009C2A96">
              <w:rPr>
                <w:rFonts w:asciiTheme="minorHAnsi" w:hAnsiTheme="minorHAnsi"/>
                <w:color w:val="000000" w:themeColor="text1"/>
                <w:sz w:val="18"/>
                <w:szCs w:val="18"/>
              </w:rPr>
              <w:t>No entry</w:t>
            </w:r>
          </w:p>
        </w:tc>
      </w:tr>
      <w:tr w:rsidR="00DC4696" w:rsidRPr="00994955" w:rsidTr="00DC4696">
        <w:tc>
          <w:tcPr>
            <w:tcW w:w="1986" w:type="dxa"/>
            <w:vMerge/>
            <w:shd w:val="clear" w:color="auto" w:fill="auto"/>
          </w:tcPr>
          <w:p w:rsidR="00DC4696" w:rsidRPr="00E97CE7" w:rsidRDefault="00DC4696" w:rsidP="003D23D7">
            <w:pPr>
              <w:spacing w:after="120"/>
              <w:rPr>
                <w:b/>
                <w:color w:val="auto"/>
              </w:rPr>
            </w:pPr>
          </w:p>
        </w:tc>
        <w:tc>
          <w:tcPr>
            <w:tcW w:w="992" w:type="dxa"/>
            <w:tcBorders>
              <w:bottom w:val="single" w:sz="2" w:space="0" w:color="A6A6A6"/>
            </w:tcBorders>
            <w:shd w:val="clear" w:color="auto" w:fill="auto"/>
          </w:tcPr>
          <w:p w:rsidR="00DC4696" w:rsidRPr="00E97CE7" w:rsidRDefault="00DC4696" w:rsidP="003D23D7">
            <w:pPr>
              <w:rPr>
                <w:rFonts w:ascii="Calibri" w:hAnsi="Calibri"/>
                <w:b/>
                <w:color w:val="auto"/>
                <w:sz w:val="18"/>
                <w:szCs w:val="18"/>
              </w:rPr>
            </w:pPr>
            <w:r w:rsidRPr="00E97CE7">
              <w:rPr>
                <w:rFonts w:ascii="Calibri" w:hAnsi="Calibri"/>
                <w:b/>
                <w:color w:val="auto"/>
                <w:sz w:val="18"/>
                <w:szCs w:val="18"/>
              </w:rPr>
              <w:t>Briggs</w:t>
            </w:r>
          </w:p>
        </w:tc>
        <w:tc>
          <w:tcPr>
            <w:tcW w:w="7348" w:type="dxa"/>
            <w:tcBorders>
              <w:bottom w:val="single" w:sz="2" w:space="0" w:color="A6A6A6"/>
            </w:tcBorders>
            <w:shd w:val="clear" w:color="auto" w:fill="auto"/>
          </w:tcPr>
          <w:p w:rsidR="00DC4696" w:rsidRPr="009C2A96" w:rsidRDefault="00DC4696" w:rsidP="003D23D7">
            <w:pPr>
              <w:rPr>
                <w:rFonts w:asciiTheme="minorHAnsi" w:hAnsiTheme="minorHAnsi"/>
                <w:color w:val="000000" w:themeColor="text1"/>
                <w:sz w:val="18"/>
                <w:szCs w:val="18"/>
              </w:rPr>
            </w:pPr>
            <w:r w:rsidRPr="009C2A96">
              <w:rPr>
                <w:rFonts w:asciiTheme="minorHAnsi" w:hAnsiTheme="minorHAnsi"/>
                <w:color w:val="000000" w:themeColor="text1"/>
                <w:sz w:val="18"/>
                <w:szCs w:val="18"/>
              </w:rPr>
              <w:t>No entry (withdrawn from US market)</w:t>
            </w:r>
          </w:p>
        </w:tc>
      </w:tr>
      <w:tr w:rsidR="00DC4696" w:rsidRPr="00994955" w:rsidTr="00DC4696">
        <w:tc>
          <w:tcPr>
            <w:tcW w:w="1986" w:type="dxa"/>
            <w:vMerge/>
            <w:shd w:val="clear" w:color="auto" w:fill="auto"/>
          </w:tcPr>
          <w:p w:rsidR="00DC4696" w:rsidRPr="00E97CE7" w:rsidRDefault="00DC4696" w:rsidP="003D23D7">
            <w:pPr>
              <w:spacing w:after="120"/>
              <w:rPr>
                <w:b/>
                <w:color w:val="auto"/>
              </w:rPr>
            </w:pPr>
          </w:p>
        </w:tc>
        <w:tc>
          <w:tcPr>
            <w:tcW w:w="992" w:type="dxa"/>
            <w:tcBorders>
              <w:top w:val="single" w:sz="2" w:space="0" w:color="A6A6A6"/>
              <w:bottom w:val="single" w:sz="2" w:space="0" w:color="A6A6A6"/>
            </w:tcBorders>
            <w:shd w:val="clear" w:color="auto" w:fill="auto"/>
          </w:tcPr>
          <w:p w:rsidR="00DC4696" w:rsidRPr="00E97CE7" w:rsidRDefault="00DC4696" w:rsidP="003D23D7">
            <w:pPr>
              <w:rPr>
                <w:rFonts w:ascii="Calibri" w:hAnsi="Calibri"/>
                <w:b/>
                <w:color w:val="auto"/>
                <w:sz w:val="18"/>
                <w:szCs w:val="18"/>
              </w:rPr>
            </w:pPr>
            <w:r>
              <w:rPr>
                <w:rFonts w:ascii="Calibri" w:hAnsi="Calibri"/>
                <w:b/>
                <w:color w:val="auto"/>
                <w:sz w:val="18"/>
                <w:szCs w:val="18"/>
              </w:rPr>
              <w:t>SPC</w:t>
            </w:r>
          </w:p>
        </w:tc>
        <w:tc>
          <w:tcPr>
            <w:tcW w:w="7348" w:type="dxa"/>
            <w:tcBorders>
              <w:top w:val="single" w:sz="2" w:space="0" w:color="A6A6A6"/>
              <w:bottom w:val="single" w:sz="2" w:space="0" w:color="A6A6A6"/>
            </w:tcBorders>
            <w:shd w:val="clear" w:color="auto" w:fill="auto"/>
          </w:tcPr>
          <w:p w:rsidR="00DC4696" w:rsidRPr="009C2A96" w:rsidRDefault="00DC4696" w:rsidP="009C2A96">
            <w:pPr>
              <w:shd w:val="clear" w:color="auto" w:fill="FFFFFF"/>
              <w:rPr>
                <w:rFonts w:asciiTheme="minorHAnsi" w:hAnsiTheme="minorHAnsi"/>
                <w:color w:val="000000" w:themeColor="text1"/>
                <w:sz w:val="18"/>
                <w:szCs w:val="18"/>
              </w:rPr>
            </w:pPr>
            <w:r w:rsidRPr="009C2A96">
              <w:rPr>
                <w:rFonts w:asciiTheme="minorHAnsi" w:hAnsiTheme="minorHAnsi"/>
                <w:b/>
                <w:color w:val="000000" w:themeColor="text1"/>
                <w:sz w:val="18"/>
                <w:szCs w:val="18"/>
              </w:rPr>
              <w:t>Generic (</w:t>
            </w:r>
            <w:proofErr w:type="spellStart"/>
            <w:r w:rsidRPr="009C2A96">
              <w:rPr>
                <w:rFonts w:asciiTheme="minorHAnsi" w:hAnsiTheme="minorHAnsi"/>
                <w:b/>
                <w:color w:val="000000" w:themeColor="text1"/>
                <w:sz w:val="18"/>
                <w:szCs w:val="18"/>
              </w:rPr>
              <w:t>Amdipharm</w:t>
            </w:r>
            <w:proofErr w:type="spellEnd"/>
            <w:r w:rsidRPr="009C2A96">
              <w:rPr>
                <w:rFonts w:asciiTheme="minorHAnsi" w:hAnsiTheme="minorHAnsi"/>
                <w:b/>
                <w:color w:val="000000" w:themeColor="text1"/>
                <w:sz w:val="18"/>
                <w:szCs w:val="18"/>
              </w:rPr>
              <w:t xml:space="preserve">): </w:t>
            </w:r>
            <w:r w:rsidRPr="009C2A96">
              <w:rPr>
                <w:rFonts w:asciiTheme="minorHAnsi" w:hAnsiTheme="minorHAnsi"/>
                <w:sz w:val="18"/>
                <w:szCs w:val="18"/>
                <w:lang w:val="en"/>
              </w:rPr>
              <w:t xml:space="preserve">Oxprenolol is excreted into breast milk (see “Pharmacokinetic properties”). However, although the estimated daily infant dose derived from breast-feeding is likely to be very low, breast feeding is not recommended. </w:t>
            </w:r>
            <w:r w:rsidRPr="009C2A96">
              <w:rPr>
                <w:rFonts w:asciiTheme="minorHAnsi" w:hAnsiTheme="minorHAnsi"/>
                <w:color w:val="000000" w:themeColor="text1"/>
                <w:sz w:val="18"/>
                <w:szCs w:val="18"/>
              </w:rPr>
              <w:t>T</w:t>
            </w:r>
            <w:r w:rsidRPr="009C2A96">
              <w:rPr>
                <w:rFonts w:asciiTheme="minorHAnsi" w:hAnsiTheme="minorHAnsi"/>
                <w:b/>
                <w:color w:val="auto"/>
                <w:sz w:val="18"/>
                <w:szCs w:val="18"/>
              </w:rPr>
              <w:t xml:space="preserve">½ </w:t>
            </w:r>
            <w:r w:rsidRPr="009C2A96">
              <w:rPr>
                <w:rFonts w:asciiTheme="minorHAnsi" w:hAnsiTheme="minorHAnsi"/>
                <w:color w:val="000000" w:themeColor="text1"/>
                <w:sz w:val="18"/>
                <w:szCs w:val="18"/>
              </w:rPr>
              <w:t xml:space="preserve">1-2h. PB 80%. Oral 20-70%, </w:t>
            </w:r>
            <w:r w:rsidRPr="009C2A96">
              <w:rPr>
                <w:rFonts w:asciiTheme="minorHAnsi" w:hAnsiTheme="minorHAnsi"/>
                <w:sz w:val="18"/>
                <w:szCs w:val="18"/>
                <w:lang w:val="en"/>
              </w:rPr>
              <w:t>The concentration in the breast milk is equivalent to approx. 30% of that in the plasma.</w:t>
            </w:r>
          </w:p>
        </w:tc>
      </w:tr>
      <w:tr w:rsidR="00DC4696" w:rsidRPr="00994955" w:rsidTr="00DC4696">
        <w:tc>
          <w:tcPr>
            <w:tcW w:w="1986" w:type="dxa"/>
            <w:vMerge/>
            <w:shd w:val="clear" w:color="auto" w:fill="auto"/>
          </w:tcPr>
          <w:p w:rsidR="00DC4696" w:rsidRPr="00E97CE7" w:rsidRDefault="00DC4696" w:rsidP="003D23D7">
            <w:pPr>
              <w:spacing w:after="120"/>
              <w:rPr>
                <w:b/>
                <w:color w:val="auto"/>
              </w:rPr>
            </w:pPr>
          </w:p>
        </w:tc>
        <w:tc>
          <w:tcPr>
            <w:tcW w:w="992" w:type="dxa"/>
            <w:tcBorders>
              <w:top w:val="single" w:sz="2" w:space="0" w:color="A6A6A6"/>
              <w:bottom w:val="single" w:sz="4" w:space="0" w:color="auto"/>
            </w:tcBorders>
            <w:shd w:val="clear" w:color="auto" w:fill="auto"/>
          </w:tcPr>
          <w:p w:rsidR="00DC4696" w:rsidRDefault="00DC4696" w:rsidP="003D23D7">
            <w:pPr>
              <w:rPr>
                <w:rFonts w:ascii="Calibri" w:hAnsi="Calibri"/>
                <w:b/>
                <w:color w:val="auto"/>
                <w:sz w:val="18"/>
                <w:szCs w:val="18"/>
              </w:rPr>
            </w:pPr>
            <w:r>
              <w:rPr>
                <w:rFonts w:ascii="Calibri" w:hAnsi="Calibri"/>
                <w:b/>
                <w:color w:val="auto"/>
                <w:sz w:val="18"/>
                <w:szCs w:val="18"/>
              </w:rPr>
              <w:t>PG</w:t>
            </w:r>
          </w:p>
        </w:tc>
        <w:tc>
          <w:tcPr>
            <w:tcW w:w="7348" w:type="dxa"/>
            <w:tcBorders>
              <w:top w:val="single" w:sz="2" w:space="0" w:color="A6A6A6"/>
              <w:bottom w:val="single" w:sz="4" w:space="0" w:color="auto"/>
            </w:tcBorders>
            <w:shd w:val="clear" w:color="auto" w:fill="auto"/>
          </w:tcPr>
          <w:p w:rsidR="00DC4696" w:rsidRDefault="00DC4696" w:rsidP="009C2A96">
            <w:pPr>
              <w:shd w:val="clear" w:color="auto" w:fill="FFFFFF"/>
              <w:rPr>
                <w:rFonts w:asciiTheme="minorHAnsi" w:hAnsiTheme="minorHAnsi"/>
                <w:color w:val="000000" w:themeColor="text1"/>
                <w:sz w:val="18"/>
                <w:szCs w:val="18"/>
              </w:rPr>
            </w:pPr>
            <w:r w:rsidRPr="00CF7D66">
              <w:rPr>
                <w:rFonts w:asciiTheme="minorHAnsi" w:hAnsiTheme="minorHAnsi"/>
                <w:b/>
                <w:color w:val="000000" w:themeColor="text1"/>
                <w:sz w:val="18"/>
                <w:szCs w:val="18"/>
              </w:rPr>
              <w:t>Study 1</w:t>
            </w:r>
            <w:r>
              <w:rPr>
                <w:rFonts w:asciiTheme="minorHAnsi" w:hAnsiTheme="minorHAnsi"/>
                <w:color w:val="000000" w:themeColor="text1"/>
                <w:sz w:val="18"/>
                <w:szCs w:val="18"/>
              </w:rPr>
              <w:t xml:space="preserve"> (</w:t>
            </w:r>
            <w:proofErr w:type="spellStart"/>
            <w:r>
              <w:rPr>
                <w:rFonts w:asciiTheme="minorHAnsi" w:hAnsiTheme="minorHAnsi"/>
                <w:color w:val="000000" w:themeColor="text1"/>
                <w:sz w:val="18"/>
                <w:szCs w:val="18"/>
              </w:rPr>
              <w:t>Fidler</w:t>
            </w:r>
            <w:proofErr w:type="spellEnd"/>
            <w:r>
              <w:rPr>
                <w:rFonts w:asciiTheme="minorHAnsi" w:hAnsiTheme="minorHAnsi"/>
                <w:color w:val="000000" w:themeColor="text1"/>
                <w:sz w:val="18"/>
                <w:szCs w:val="18"/>
              </w:rPr>
              <w:t xml:space="preserve"> J): 9 pts given </w:t>
            </w:r>
            <w:proofErr w:type="spellStart"/>
            <w:r>
              <w:rPr>
                <w:rFonts w:asciiTheme="minorHAnsi" w:hAnsiTheme="minorHAnsi"/>
                <w:color w:val="000000" w:themeColor="text1"/>
                <w:sz w:val="18"/>
                <w:szCs w:val="18"/>
              </w:rPr>
              <w:t>oxpren</w:t>
            </w:r>
            <w:proofErr w:type="spellEnd"/>
            <w:r>
              <w:rPr>
                <w:rFonts w:asciiTheme="minorHAnsi" w:hAnsiTheme="minorHAnsi"/>
                <w:color w:val="000000" w:themeColor="text1"/>
                <w:sz w:val="18"/>
                <w:szCs w:val="18"/>
              </w:rPr>
              <w:t xml:space="preserve"> 80mg bd. Mean maternal plasma level 430ng/mL; mean milk level 128ng/mL. Mean M/P 0.29. Ratio of infant vs maternal dose varied from 1:142 to 1:220 (maternal dose 160mg/d and 320mg/d). Therefore unlikely BM excretion important to infant.</w:t>
            </w:r>
          </w:p>
          <w:p w:rsidR="00DC4696" w:rsidRPr="00DC4696" w:rsidRDefault="00DC4696" w:rsidP="00DC4696">
            <w:pPr>
              <w:shd w:val="clear" w:color="auto" w:fill="FFFFFF"/>
              <w:rPr>
                <w:rFonts w:asciiTheme="minorHAnsi" w:hAnsiTheme="minorHAnsi"/>
                <w:color w:val="000000" w:themeColor="text1"/>
                <w:sz w:val="18"/>
                <w:szCs w:val="18"/>
              </w:rPr>
            </w:pPr>
            <w:r w:rsidRPr="00CF7D66">
              <w:rPr>
                <w:rFonts w:asciiTheme="minorHAnsi" w:hAnsiTheme="minorHAnsi"/>
                <w:b/>
                <w:color w:val="000000" w:themeColor="text1"/>
                <w:sz w:val="18"/>
                <w:szCs w:val="18"/>
              </w:rPr>
              <w:t>Study 2</w:t>
            </w:r>
            <w:r>
              <w:rPr>
                <w:rFonts w:asciiTheme="minorHAnsi" w:hAnsiTheme="minorHAnsi"/>
                <w:color w:val="000000" w:themeColor="text1"/>
                <w:sz w:val="18"/>
                <w:szCs w:val="18"/>
              </w:rPr>
              <w:t xml:space="preserve"> (</w:t>
            </w:r>
            <w:proofErr w:type="spellStart"/>
            <w:r>
              <w:rPr>
                <w:rFonts w:asciiTheme="minorHAnsi" w:hAnsiTheme="minorHAnsi"/>
                <w:color w:val="000000" w:themeColor="text1"/>
                <w:sz w:val="18"/>
                <w:szCs w:val="18"/>
              </w:rPr>
              <w:t>Sioufi</w:t>
            </w:r>
            <w:proofErr w:type="spellEnd"/>
            <w:r>
              <w:rPr>
                <w:rFonts w:asciiTheme="minorHAnsi" w:hAnsiTheme="minorHAnsi"/>
                <w:color w:val="000000" w:themeColor="text1"/>
                <w:sz w:val="18"/>
                <w:szCs w:val="18"/>
              </w:rPr>
              <w:t xml:space="preserve"> A): 9 mothers given 80mg tds. Mean m</w:t>
            </w:r>
            <w:r w:rsidR="00CF7D66">
              <w:rPr>
                <w:rFonts w:asciiTheme="minorHAnsi" w:hAnsiTheme="minorHAnsi"/>
                <w:color w:val="000000" w:themeColor="text1"/>
                <w:sz w:val="18"/>
                <w:szCs w:val="18"/>
              </w:rPr>
              <w:t>at plasm</w:t>
            </w:r>
            <w:r>
              <w:rPr>
                <w:rFonts w:asciiTheme="minorHAnsi" w:hAnsiTheme="minorHAnsi"/>
                <w:color w:val="000000" w:themeColor="text1"/>
                <w:sz w:val="18"/>
                <w:szCs w:val="18"/>
              </w:rPr>
              <w:t xml:space="preserve">a levels </w:t>
            </w:r>
            <w:r w:rsidR="00CF7D66">
              <w:rPr>
                <w:rFonts w:asciiTheme="minorHAnsi" w:hAnsiTheme="minorHAnsi"/>
                <w:color w:val="000000" w:themeColor="text1"/>
                <w:sz w:val="18"/>
                <w:szCs w:val="18"/>
              </w:rPr>
              <w:t xml:space="preserve">1420 </w:t>
            </w:r>
            <w:proofErr w:type="spellStart"/>
            <w:r w:rsidR="00CF7D66">
              <w:rPr>
                <w:rFonts w:asciiTheme="minorHAnsi" w:hAnsiTheme="minorHAnsi"/>
                <w:color w:val="000000" w:themeColor="text1"/>
                <w:sz w:val="18"/>
                <w:szCs w:val="18"/>
              </w:rPr>
              <w:t>nmol</w:t>
            </w:r>
            <w:proofErr w:type="spellEnd"/>
            <w:r w:rsidR="00CF7D66">
              <w:rPr>
                <w:rFonts w:asciiTheme="minorHAnsi" w:hAnsiTheme="minorHAnsi"/>
                <w:color w:val="000000" w:themeColor="text1"/>
                <w:sz w:val="18"/>
                <w:szCs w:val="18"/>
              </w:rPr>
              <w:t>/L and in milk 387nmol/L. Mean M/P 0.45. Calculated infant dose (milk 500ml/d) max 0.07mg/kg = 60x normal adult dose.</w:t>
            </w:r>
          </w:p>
        </w:tc>
      </w:tr>
      <w:tr w:rsidR="00E70375" w:rsidRPr="00994955" w:rsidTr="00DC4696">
        <w:tc>
          <w:tcPr>
            <w:tcW w:w="1986" w:type="dxa"/>
            <w:vMerge w:val="restart"/>
            <w:tcBorders>
              <w:top w:val="single" w:sz="2" w:space="0" w:color="000000"/>
              <w:bottom w:val="single" w:sz="2" w:space="0" w:color="A6A6A6"/>
            </w:tcBorders>
            <w:shd w:val="clear" w:color="auto" w:fill="auto"/>
          </w:tcPr>
          <w:p w:rsidR="00E70375" w:rsidRPr="0052286D" w:rsidRDefault="00E70375" w:rsidP="003D23D7">
            <w:r>
              <w:rPr>
                <w:b/>
                <w:color w:val="auto"/>
              </w:rPr>
              <w:t>Pindolol</w:t>
            </w:r>
          </w:p>
        </w:tc>
        <w:tc>
          <w:tcPr>
            <w:tcW w:w="992" w:type="dxa"/>
            <w:tcBorders>
              <w:top w:val="single" w:sz="4" w:space="0" w:color="auto"/>
              <w:bottom w:val="single" w:sz="2" w:space="0" w:color="A6A6A6"/>
            </w:tcBorders>
            <w:shd w:val="clear" w:color="auto" w:fill="auto"/>
          </w:tcPr>
          <w:p w:rsidR="00E70375" w:rsidRPr="00E97CE7" w:rsidRDefault="00E70375" w:rsidP="003D23D7">
            <w:pPr>
              <w:rPr>
                <w:rFonts w:ascii="Calibri" w:hAnsi="Calibri"/>
                <w:b/>
                <w:color w:val="auto"/>
                <w:sz w:val="18"/>
                <w:szCs w:val="18"/>
              </w:rPr>
            </w:pPr>
            <w:r w:rsidRPr="00E97CE7">
              <w:rPr>
                <w:rFonts w:ascii="Calibri" w:hAnsi="Calibri"/>
                <w:b/>
                <w:color w:val="auto"/>
                <w:sz w:val="18"/>
                <w:szCs w:val="18"/>
              </w:rPr>
              <w:t>LactMed</w:t>
            </w:r>
          </w:p>
        </w:tc>
        <w:tc>
          <w:tcPr>
            <w:tcW w:w="7348" w:type="dxa"/>
            <w:tcBorders>
              <w:top w:val="single" w:sz="4" w:space="0" w:color="auto"/>
              <w:bottom w:val="single" w:sz="2" w:space="0" w:color="A6A6A6"/>
            </w:tcBorders>
            <w:shd w:val="clear" w:color="auto" w:fill="auto"/>
          </w:tcPr>
          <w:p w:rsidR="00E70375" w:rsidRPr="009C2A96" w:rsidRDefault="004D6B43" w:rsidP="003D23D7">
            <w:pPr>
              <w:rPr>
                <w:rFonts w:asciiTheme="minorHAnsi" w:hAnsiTheme="minorHAnsi"/>
                <w:b/>
                <w:color w:val="000000" w:themeColor="text1"/>
                <w:sz w:val="18"/>
                <w:szCs w:val="18"/>
              </w:rPr>
            </w:pPr>
            <w:r w:rsidRPr="009C2A96">
              <w:rPr>
                <w:rFonts w:asciiTheme="minorHAnsi" w:hAnsiTheme="minorHAnsi"/>
                <w:color w:val="000000" w:themeColor="text1"/>
                <w:sz w:val="18"/>
                <w:szCs w:val="18"/>
                <w:lang w:val="en"/>
              </w:rPr>
              <w:t>Limited information indicates that maternal pindolol produces low levels in milk. It also has a short half-life and only moderate renal excretion, so it would not be expected to cause any adverse effects in breastfed infants, especially if the infant is older than 2 months.</w:t>
            </w:r>
          </w:p>
        </w:tc>
      </w:tr>
      <w:tr w:rsidR="00E70375" w:rsidRPr="00994955" w:rsidTr="003D23D7">
        <w:tc>
          <w:tcPr>
            <w:tcW w:w="1986" w:type="dxa"/>
            <w:vMerge/>
            <w:tcBorders>
              <w:top w:val="single" w:sz="2" w:space="0" w:color="A6A6A6"/>
              <w:bottom w:val="single" w:sz="2" w:space="0" w:color="A6A6A6"/>
            </w:tcBorders>
            <w:shd w:val="clear" w:color="auto" w:fill="auto"/>
          </w:tcPr>
          <w:p w:rsidR="00E70375" w:rsidRPr="00E97CE7" w:rsidRDefault="00E70375" w:rsidP="003D23D7">
            <w:pPr>
              <w:spacing w:after="120"/>
              <w:rPr>
                <w:b/>
                <w:color w:val="auto"/>
              </w:rPr>
            </w:pPr>
          </w:p>
        </w:tc>
        <w:tc>
          <w:tcPr>
            <w:tcW w:w="992" w:type="dxa"/>
            <w:tcBorders>
              <w:top w:val="single" w:sz="2" w:space="0" w:color="A6A6A6"/>
              <w:bottom w:val="single" w:sz="2" w:space="0" w:color="A6A6A6"/>
            </w:tcBorders>
            <w:shd w:val="clear" w:color="auto" w:fill="auto"/>
          </w:tcPr>
          <w:p w:rsidR="00E70375" w:rsidRPr="00E97CE7" w:rsidRDefault="00E70375" w:rsidP="003D23D7">
            <w:pPr>
              <w:rPr>
                <w:rFonts w:ascii="Calibri" w:hAnsi="Calibri"/>
                <w:b/>
                <w:color w:val="auto"/>
                <w:sz w:val="18"/>
                <w:szCs w:val="18"/>
              </w:rPr>
            </w:pPr>
            <w:r w:rsidRPr="00E97CE7">
              <w:rPr>
                <w:rFonts w:ascii="Calibri" w:hAnsi="Calibri"/>
                <w:b/>
                <w:color w:val="auto"/>
                <w:sz w:val="18"/>
                <w:szCs w:val="18"/>
              </w:rPr>
              <w:t>Hale</w:t>
            </w:r>
          </w:p>
        </w:tc>
        <w:tc>
          <w:tcPr>
            <w:tcW w:w="7348" w:type="dxa"/>
            <w:tcBorders>
              <w:top w:val="single" w:sz="2" w:space="0" w:color="A6A6A6"/>
              <w:bottom w:val="single" w:sz="2" w:space="0" w:color="A6A6A6"/>
            </w:tcBorders>
            <w:shd w:val="clear" w:color="auto" w:fill="auto"/>
          </w:tcPr>
          <w:p w:rsidR="00E70375" w:rsidRPr="009C2A96" w:rsidRDefault="008A4E21" w:rsidP="008A4E21">
            <w:pPr>
              <w:rPr>
                <w:rFonts w:asciiTheme="minorHAnsi" w:hAnsiTheme="minorHAnsi"/>
                <w:b/>
                <w:color w:val="000000" w:themeColor="text1"/>
                <w:sz w:val="18"/>
                <w:szCs w:val="18"/>
              </w:rPr>
            </w:pPr>
            <w:r w:rsidRPr="009C2A96">
              <w:rPr>
                <w:rFonts w:asciiTheme="minorHAnsi" w:hAnsiTheme="minorHAnsi"/>
                <w:color w:val="000000" w:themeColor="text1"/>
                <w:sz w:val="18"/>
                <w:szCs w:val="18"/>
              </w:rPr>
              <w:t xml:space="preserve">In one study of six hypertensive pregnant women, ages 25-35 years, with a gestational age of 37-40 weeks, patients were given 10 mg pindolol tablets every 12 hours for a minimum of 3 days during pregnancy and after delivery. A single breastmilk sample was collected on the day of delivery from 11 to 14 hours </w:t>
            </w:r>
            <w:proofErr w:type="spellStart"/>
            <w:r w:rsidRPr="009C2A96">
              <w:rPr>
                <w:rFonts w:asciiTheme="minorHAnsi" w:hAnsiTheme="minorHAnsi"/>
                <w:color w:val="000000" w:themeColor="text1"/>
                <w:sz w:val="18"/>
                <w:szCs w:val="18"/>
              </w:rPr>
              <w:t>postdose</w:t>
            </w:r>
            <w:proofErr w:type="spellEnd"/>
            <w:r w:rsidRPr="009C2A96">
              <w:rPr>
                <w:rFonts w:asciiTheme="minorHAnsi" w:hAnsiTheme="minorHAnsi"/>
                <w:color w:val="000000" w:themeColor="text1"/>
                <w:sz w:val="18"/>
                <w:szCs w:val="18"/>
              </w:rPr>
              <w:t>. Two pindolol metabolites were measured in milk, (-)-S-pindolol averaging 3.1 µg/L (range 1.5 to 3.9 µg/L) and (+)-R-pindolol averaging 1.9 µg/L (range 1.2 to 4.2 µg/L)</w:t>
            </w:r>
            <w:proofErr w:type="gramStart"/>
            <w:r w:rsidRPr="009C2A96">
              <w:rPr>
                <w:rFonts w:asciiTheme="minorHAnsi" w:hAnsiTheme="minorHAnsi"/>
                <w:color w:val="000000" w:themeColor="text1"/>
                <w:sz w:val="18"/>
                <w:szCs w:val="18"/>
              </w:rPr>
              <w:t>.[</w:t>
            </w:r>
            <w:proofErr w:type="gramEnd"/>
            <w:r w:rsidRPr="009C2A96">
              <w:rPr>
                <w:rFonts w:asciiTheme="minorHAnsi" w:hAnsiTheme="minorHAnsi"/>
                <w:color w:val="000000" w:themeColor="text1"/>
                <w:sz w:val="18"/>
                <w:szCs w:val="18"/>
              </w:rPr>
              <w:t xml:space="preserve">1] The authors estimate that a fully breastfed infant would receive an average of 0.36% of the weight-adjusted maternal dose. This data unfortunately was collected during the </w:t>
            </w:r>
            <w:proofErr w:type="spellStart"/>
            <w:r w:rsidRPr="009C2A96">
              <w:rPr>
                <w:rFonts w:asciiTheme="minorHAnsi" w:hAnsiTheme="minorHAnsi"/>
                <w:color w:val="000000" w:themeColor="text1"/>
                <w:sz w:val="18"/>
                <w:szCs w:val="18"/>
              </w:rPr>
              <w:t>colostral</w:t>
            </w:r>
            <w:proofErr w:type="spellEnd"/>
            <w:r w:rsidRPr="009C2A96">
              <w:rPr>
                <w:rFonts w:asciiTheme="minorHAnsi" w:hAnsiTheme="minorHAnsi"/>
                <w:color w:val="000000" w:themeColor="text1"/>
                <w:sz w:val="18"/>
                <w:szCs w:val="18"/>
              </w:rPr>
              <w:t xml:space="preserve"> phase, and may overestimate the actual dose during regular lactation. </w:t>
            </w:r>
            <w:r w:rsidR="009C2A96" w:rsidRPr="009C2A96">
              <w:rPr>
                <w:rFonts w:asciiTheme="minorHAnsi" w:hAnsiTheme="minorHAnsi"/>
                <w:color w:val="000000" w:themeColor="text1"/>
                <w:sz w:val="18"/>
                <w:szCs w:val="18"/>
              </w:rPr>
              <w:t>T</w:t>
            </w:r>
            <w:r w:rsidR="009C2A96" w:rsidRPr="009C2A96">
              <w:rPr>
                <w:rFonts w:asciiTheme="minorHAnsi" w:hAnsiTheme="minorHAnsi"/>
                <w:b/>
                <w:color w:val="auto"/>
                <w:sz w:val="18"/>
                <w:szCs w:val="18"/>
              </w:rPr>
              <w:t xml:space="preserve">½ </w:t>
            </w:r>
            <w:r w:rsidRPr="009C2A96">
              <w:rPr>
                <w:rFonts w:asciiTheme="minorHAnsi" w:hAnsiTheme="minorHAnsi"/>
                <w:color w:val="000000" w:themeColor="text1"/>
                <w:sz w:val="18"/>
                <w:szCs w:val="18"/>
              </w:rPr>
              <w:t>3-4</w:t>
            </w:r>
            <w:r w:rsidR="00142D40" w:rsidRPr="009C2A96">
              <w:rPr>
                <w:rFonts w:asciiTheme="minorHAnsi" w:hAnsiTheme="minorHAnsi"/>
                <w:color w:val="000000" w:themeColor="text1"/>
                <w:sz w:val="18"/>
                <w:szCs w:val="18"/>
              </w:rPr>
              <w:t xml:space="preserve">h. </w:t>
            </w:r>
            <w:r w:rsidRPr="009C2A96">
              <w:rPr>
                <w:rFonts w:asciiTheme="minorHAnsi" w:hAnsiTheme="minorHAnsi"/>
                <w:color w:val="000000" w:themeColor="text1"/>
                <w:sz w:val="18"/>
                <w:szCs w:val="18"/>
              </w:rPr>
              <w:t xml:space="preserve"> PB 40</w:t>
            </w:r>
            <w:r w:rsidR="00142D40" w:rsidRPr="009C2A96">
              <w:rPr>
                <w:rFonts w:asciiTheme="minorHAnsi" w:hAnsiTheme="minorHAnsi"/>
                <w:color w:val="000000" w:themeColor="text1"/>
                <w:sz w:val="18"/>
                <w:szCs w:val="18"/>
              </w:rPr>
              <w:t xml:space="preserve">%. Oral </w:t>
            </w:r>
            <w:r w:rsidRPr="009C2A96">
              <w:rPr>
                <w:rFonts w:asciiTheme="minorHAnsi" w:hAnsiTheme="minorHAnsi"/>
                <w:color w:val="000000" w:themeColor="text1"/>
                <w:sz w:val="18"/>
                <w:szCs w:val="18"/>
              </w:rPr>
              <w:t xml:space="preserve">&gt;95% </w:t>
            </w:r>
            <w:proofErr w:type="spellStart"/>
            <w:r w:rsidRPr="009C2A96">
              <w:rPr>
                <w:rFonts w:asciiTheme="minorHAnsi" w:hAnsiTheme="minorHAnsi"/>
                <w:color w:val="000000" w:themeColor="text1"/>
                <w:sz w:val="18"/>
                <w:szCs w:val="18"/>
              </w:rPr>
              <w:t>pKa</w:t>
            </w:r>
            <w:proofErr w:type="spellEnd"/>
            <w:r w:rsidRPr="009C2A96">
              <w:rPr>
                <w:rFonts w:asciiTheme="minorHAnsi" w:hAnsiTheme="minorHAnsi"/>
                <w:color w:val="000000" w:themeColor="text1"/>
                <w:sz w:val="18"/>
                <w:szCs w:val="18"/>
              </w:rPr>
              <w:t xml:space="preserve"> 9.5</w:t>
            </w:r>
            <w:r w:rsidR="00142D40" w:rsidRPr="009C2A96">
              <w:rPr>
                <w:rFonts w:asciiTheme="minorHAnsi" w:hAnsiTheme="minorHAnsi"/>
                <w:color w:val="000000" w:themeColor="text1"/>
                <w:sz w:val="18"/>
                <w:szCs w:val="18"/>
              </w:rPr>
              <w:t>. Cat L3 - Limited Data-Probably Compatible</w:t>
            </w:r>
          </w:p>
        </w:tc>
      </w:tr>
      <w:tr w:rsidR="00E70375" w:rsidRPr="00994955" w:rsidTr="003D23D7">
        <w:tc>
          <w:tcPr>
            <w:tcW w:w="1986" w:type="dxa"/>
            <w:vMerge/>
            <w:tcBorders>
              <w:top w:val="single" w:sz="2" w:space="0" w:color="A6A6A6"/>
              <w:bottom w:val="single" w:sz="2" w:space="0" w:color="A6A6A6"/>
            </w:tcBorders>
            <w:shd w:val="clear" w:color="auto" w:fill="auto"/>
          </w:tcPr>
          <w:p w:rsidR="00E70375" w:rsidRPr="00E97CE7" w:rsidRDefault="00E70375" w:rsidP="003D23D7">
            <w:pPr>
              <w:spacing w:after="120"/>
              <w:rPr>
                <w:b/>
                <w:color w:val="auto"/>
              </w:rPr>
            </w:pPr>
          </w:p>
        </w:tc>
        <w:tc>
          <w:tcPr>
            <w:tcW w:w="992" w:type="dxa"/>
            <w:tcBorders>
              <w:top w:val="single" w:sz="2" w:space="0" w:color="A6A6A6"/>
              <w:bottom w:val="single" w:sz="2" w:space="0" w:color="A6A6A6"/>
            </w:tcBorders>
            <w:shd w:val="clear" w:color="auto" w:fill="auto"/>
          </w:tcPr>
          <w:p w:rsidR="00E70375" w:rsidRPr="00E97CE7" w:rsidRDefault="00E70375" w:rsidP="003D23D7">
            <w:pPr>
              <w:rPr>
                <w:rFonts w:ascii="Calibri" w:hAnsi="Calibri"/>
                <w:b/>
                <w:color w:val="auto"/>
                <w:sz w:val="18"/>
                <w:szCs w:val="18"/>
              </w:rPr>
            </w:pPr>
            <w:r w:rsidRPr="00E97CE7">
              <w:rPr>
                <w:rFonts w:ascii="Calibri" w:hAnsi="Calibri"/>
                <w:b/>
                <w:color w:val="auto"/>
                <w:sz w:val="18"/>
                <w:szCs w:val="18"/>
              </w:rPr>
              <w:t>Briggs</w:t>
            </w:r>
          </w:p>
        </w:tc>
        <w:tc>
          <w:tcPr>
            <w:tcW w:w="7348" w:type="dxa"/>
            <w:tcBorders>
              <w:top w:val="single" w:sz="2" w:space="0" w:color="A6A6A6"/>
              <w:bottom w:val="single" w:sz="2" w:space="0" w:color="A6A6A6"/>
            </w:tcBorders>
            <w:shd w:val="clear" w:color="auto" w:fill="auto"/>
          </w:tcPr>
          <w:p w:rsidR="00E70375" w:rsidRPr="009C2A96" w:rsidRDefault="00E70375" w:rsidP="003D23D7">
            <w:pPr>
              <w:rPr>
                <w:rFonts w:asciiTheme="minorHAnsi" w:hAnsiTheme="minorHAnsi"/>
                <w:color w:val="000000" w:themeColor="text1"/>
                <w:sz w:val="18"/>
                <w:szCs w:val="18"/>
              </w:rPr>
            </w:pPr>
          </w:p>
        </w:tc>
      </w:tr>
      <w:tr w:rsidR="00E70375" w:rsidRPr="00994955" w:rsidTr="003D23D7">
        <w:tc>
          <w:tcPr>
            <w:tcW w:w="1986" w:type="dxa"/>
            <w:vMerge/>
            <w:tcBorders>
              <w:top w:val="single" w:sz="2" w:space="0" w:color="A6A6A6"/>
              <w:bottom w:val="single" w:sz="2" w:space="0" w:color="000000"/>
            </w:tcBorders>
            <w:shd w:val="clear" w:color="auto" w:fill="auto"/>
          </w:tcPr>
          <w:p w:rsidR="00E70375" w:rsidRPr="00E97CE7" w:rsidRDefault="00E70375" w:rsidP="003D23D7">
            <w:pPr>
              <w:spacing w:after="120"/>
              <w:rPr>
                <w:b/>
                <w:color w:val="auto"/>
              </w:rPr>
            </w:pPr>
          </w:p>
        </w:tc>
        <w:tc>
          <w:tcPr>
            <w:tcW w:w="992" w:type="dxa"/>
            <w:tcBorders>
              <w:top w:val="single" w:sz="2" w:space="0" w:color="A6A6A6"/>
              <w:bottom w:val="single" w:sz="2" w:space="0" w:color="000000"/>
            </w:tcBorders>
            <w:shd w:val="clear" w:color="auto" w:fill="auto"/>
          </w:tcPr>
          <w:p w:rsidR="00E70375" w:rsidRPr="00E97CE7" w:rsidRDefault="00E70375" w:rsidP="003D23D7">
            <w:pPr>
              <w:rPr>
                <w:rFonts w:ascii="Calibri" w:hAnsi="Calibri"/>
                <w:b/>
                <w:color w:val="auto"/>
                <w:sz w:val="18"/>
                <w:szCs w:val="18"/>
              </w:rPr>
            </w:pPr>
          </w:p>
        </w:tc>
        <w:tc>
          <w:tcPr>
            <w:tcW w:w="7348" w:type="dxa"/>
            <w:tcBorders>
              <w:top w:val="single" w:sz="2" w:space="0" w:color="A6A6A6"/>
              <w:bottom w:val="single" w:sz="2" w:space="0" w:color="000000"/>
            </w:tcBorders>
            <w:shd w:val="clear" w:color="auto" w:fill="auto"/>
          </w:tcPr>
          <w:p w:rsidR="00E70375" w:rsidRPr="009C2A96" w:rsidRDefault="00E70375" w:rsidP="003D23D7">
            <w:pPr>
              <w:rPr>
                <w:rFonts w:asciiTheme="minorHAnsi" w:hAnsiTheme="minorHAnsi"/>
                <w:color w:val="000000" w:themeColor="text1"/>
                <w:sz w:val="18"/>
                <w:szCs w:val="18"/>
              </w:rPr>
            </w:pPr>
          </w:p>
        </w:tc>
      </w:tr>
      <w:tr w:rsidR="00E70375" w:rsidRPr="00994955" w:rsidTr="003D23D7">
        <w:tc>
          <w:tcPr>
            <w:tcW w:w="1986" w:type="dxa"/>
            <w:vMerge w:val="restart"/>
            <w:tcBorders>
              <w:top w:val="single" w:sz="2" w:space="0" w:color="000000"/>
              <w:bottom w:val="single" w:sz="2" w:space="0" w:color="A6A6A6"/>
            </w:tcBorders>
            <w:shd w:val="clear" w:color="auto" w:fill="auto"/>
          </w:tcPr>
          <w:p w:rsidR="00E70375" w:rsidRDefault="00E70375" w:rsidP="003D23D7">
            <w:pPr>
              <w:rPr>
                <w:b/>
                <w:color w:val="auto"/>
              </w:rPr>
            </w:pPr>
            <w:r>
              <w:rPr>
                <w:b/>
                <w:color w:val="auto"/>
              </w:rPr>
              <w:t>Propranolol</w:t>
            </w:r>
          </w:p>
          <w:p w:rsidR="009C2A96" w:rsidRPr="0052286D" w:rsidRDefault="009C2A96" w:rsidP="003D23D7">
            <w:r>
              <w:rPr>
                <w:b/>
                <w:color w:val="auto"/>
              </w:rPr>
              <w:lastRenderedPageBreak/>
              <w:t xml:space="preserve">½ </w:t>
            </w:r>
          </w:p>
        </w:tc>
        <w:tc>
          <w:tcPr>
            <w:tcW w:w="992" w:type="dxa"/>
            <w:tcBorders>
              <w:top w:val="single" w:sz="2" w:space="0" w:color="000000"/>
              <w:bottom w:val="single" w:sz="2" w:space="0" w:color="A6A6A6"/>
            </w:tcBorders>
            <w:shd w:val="clear" w:color="auto" w:fill="auto"/>
          </w:tcPr>
          <w:p w:rsidR="00E70375" w:rsidRPr="00E97CE7" w:rsidRDefault="00E70375" w:rsidP="003D23D7">
            <w:pPr>
              <w:rPr>
                <w:rFonts w:ascii="Calibri" w:hAnsi="Calibri"/>
                <w:b/>
                <w:color w:val="auto"/>
                <w:sz w:val="18"/>
                <w:szCs w:val="18"/>
              </w:rPr>
            </w:pPr>
            <w:r w:rsidRPr="00E97CE7">
              <w:rPr>
                <w:rFonts w:ascii="Calibri" w:hAnsi="Calibri"/>
                <w:b/>
                <w:color w:val="auto"/>
                <w:sz w:val="18"/>
                <w:szCs w:val="18"/>
              </w:rPr>
              <w:lastRenderedPageBreak/>
              <w:t>LactMed</w:t>
            </w:r>
          </w:p>
        </w:tc>
        <w:tc>
          <w:tcPr>
            <w:tcW w:w="7348" w:type="dxa"/>
            <w:tcBorders>
              <w:top w:val="single" w:sz="2" w:space="0" w:color="000000"/>
              <w:bottom w:val="single" w:sz="2" w:space="0" w:color="A6A6A6"/>
            </w:tcBorders>
            <w:shd w:val="clear" w:color="auto" w:fill="auto"/>
          </w:tcPr>
          <w:p w:rsidR="00E70375" w:rsidRPr="009C2A96" w:rsidRDefault="004D6B43" w:rsidP="003D23D7">
            <w:pPr>
              <w:rPr>
                <w:rFonts w:asciiTheme="minorHAnsi" w:hAnsiTheme="minorHAnsi"/>
                <w:color w:val="000000" w:themeColor="text1"/>
                <w:sz w:val="18"/>
                <w:szCs w:val="18"/>
              </w:rPr>
            </w:pPr>
            <w:r w:rsidRPr="009C2A96">
              <w:rPr>
                <w:rFonts w:asciiTheme="minorHAnsi" w:hAnsiTheme="minorHAnsi"/>
                <w:color w:val="000000" w:themeColor="text1"/>
                <w:sz w:val="18"/>
                <w:szCs w:val="18"/>
                <w:lang w:val="en"/>
              </w:rPr>
              <w:t xml:space="preserve">Because of the low levels of </w:t>
            </w:r>
            <w:r w:rsidRPr="009C2A96">
              <w:rPr>
                <w:rStyle w:val="Strong"/>
                <w:rFonts w:asciiTheme="minorHAnsi" w:hAnsiTheme="minorHAnsi"/>
                <w:b w:val="0"/>
                <w:color w:val="000000" w:themeColor="text1"/>
                <w:sz w:val="18"/>
                <w:szCs w:val="18"/>
                <w:lang w:val="en"/>
              </w:rPr>
              <w:t>propranolol</w:t>
            </w:r>
            <w:r w:rsidRPr="009C2A96">
              <w:rPr>
                <w:rFonts w:asciiTheme="minorHAnsi" w:hAnsiTheme="minorHAnsi"/>
                <w:color w:val="000000" w:themeColor="text1"/>
                <w:sz w:val="18"/>
                <w:szCs w:val="18"/>
                <w:lang w:val="en"/>
              </w:rPr>
              <w:t xml:space="preserve"> in breastmilk, amounts ingested by the infant are small </w:t>
            </w:r>
            <w:r w:rsidRPr="009C2A96">
              <w:rPr>
                <w:rFonts w:asciiTheme="minorHAnsi" w:hAnsiTheme="minorHAnsi"/>
                <w:color w:val="000000" w:themeColor="text1"/>
                <w:sz w:val="18"/>
                <w:szCs w:val="18"/>
                <w:lang w:val="en"/>
              </w:rPr>
              <w:lastRenderedPageBreak/>
              <w:t xml:space="preserve">and would not be expected to cause any adverse effects in breastfed infants. Studies during breastfeeding have found no adverse reactions in breastfed infants clearly attributable to </w:t>
            </w:r>
            <w:r w:rsidRPr="009C2A96">
              <w:rPr>
                <w:rStyle w:val="Strong"/>
                <w:rFonts w:asciiTheme="minorHAnsi" w:hAnsiTheme="minorHAnsi"/>
                <w:b w:val="0"/>
                <w:color w:val="000000" w:themeColor="text1"/>
                <w:sz w:val="18"/>
                <w:szCs w:val="18"/>
                <w:lang w:val="en"/>
              </w:rPr>
              <w:t>propranolol</w:t>
            </w:r>
            <w:r w:rsidRPr="009C2A96">
              <w:rPr>
                <w:rFonts w:asciiTheme="minorHAnsi" w:hAnsiTheme="minorHAnsi"/>
                <w:color w:val="000000" w:themeColor="text1"/>
                <w:sz w:val="18"/>
                <w:szCs w:val="18"/>
                <w:lang w:val="en"/>
              </w:rPr>
              <w:t>. No special precautions are required.</w:t>
            </w:r>
          </w:p>
        </w:tc>
      </w:tr>
      <w:tr w:rsidR="00E70375" w:rsidRPr="00994955" w:rsidTr="003D23D7">
        <w:tc>
          <w:tcPr>
            <w:tcW w:w="1986" w:type="dxa"/>
            <w:vMerge/>
            <w:tcBorders>
              <w:top w:val="single" w:sz="2" w:space="0" w:color="A6A6A6"/>
              <w:bottom w:val="single" w:sz="2" w:space="0" w:color="A6A6A6"/>
            </w:tcBorders>
            <w:shd w:val="clear" w:color="auto" w:fill="auto"/>
          </w:tcPr>
          <w:p w:rsidR="00E70375" w:rsidRPr="00E97CE7" w:rsidRDefault="00E70375" w:rsidP="003D23D7">
            <w:pPr>
              <w:spacing w:after="120"/>
              <w:rPr>
                <w:b/>
                <w:color w:val="auto"/>
              </w:rPr>
            </w:pPr>
          </w:p>
        </w:tc>
        <w:tc>
          <w:tcPr>
            <w:tcW w:w="992" w:type="dxa"/>
            <w:tcBorders>
              <w:top w:val="single" w:sz="2" w:space="0" w:color="A6A6A6"/>
              <w:bottom w:val="single" w:sz="2" w:space="0" w:color="A6A6A6"/>
            </w:tcBorders>
            <w:shd w:val="clear" w:color="auto" w:fill="auto"/>
          </w:tcPr>
          <w:p w:rsidR="00E70375" w:rsidRPr="00E97CE7" w:rsidRDefault="00E70375" w:rsidP="003D23D7">
            <w:pPr>
              <w:rPr>
                <w:rFonts w:ascii="Calibri" w:hAnsi="Calibri"/>
                <w:b/>
                <w:color w:val="auto"/>
                <w:sz w:val="18"/>
                <w:szCs w:val="18"/>
              </w:rPr>
            </w:pPr>
            <w:r w:rsidRPr="00E97CE7">
              <w:rPr>
                <w:rFonts w:ascii="Calibri" w:hAnsi="Calibri"/>
                <w:b/>
                <w:color w:val="auto"/>
                <w:sz w:val="18"/>
                <w:szCs w:val="18"/>
              </w:rPr>
              <w:t>Hale</w:t>
            </w:r>
          </w:p>
        </w:tc>
        <w:tc>
          <w:tcPr>
            <w:tcW w:w="7348" w:type="dxa"/>
            <w:tcBorders>
              <w:top w:val="single" w:sz="2" w:space="0" w:color="A6A6A6"/>
              <w:bottom w:val="single" w:sz="2" w:space="0" w:color="A6A6A6"/>
            </w:tcBorders>
            <w:shd w:val="clear" w:color="auto" w:fill="auto"/>
          </w:tcPr>
          <w:p w:rsidR="00E70375" w:rsidRPr="009C2A96" w:rsidRDefault="008A4E21" w:rsidP="008A4E21">
            <w:pPr>
              <w:rPr>
                <w:rFonts w:asciiTheme="minorHAnsi" w:hAnsiTheme="minorHAnsi"/>
                <w:color w:val="000000" w:themeColor="text1"/>
                <w:sz w:val="18"/>
                <w:szCs w:val="18"/>
              </w:rPr>
            </w:pPr>
            <w:r w:rsidRPr="009C2A96">
              <w:rPr>
                <w:rFonts w:asciiTheme="minorHAnsi" w:hAnsiTheme="minorHAnsi"/>
                <w:color w:val="000000" w:themeColor="text1"/>
                <w:sz w:val="18"/>
                <w:szCs w:val="18"/>
              </w:rPr>
              <w:t xml:space="preserve">In general, the maternal plasma levels are exceedingly </w:t>
            </w:r>
            <w:proofErr w:type="gramStart"/>
            <w:r w:rsidRPr="009C2A96">
              <w:rPr>
                <w:rFonts w:asciiTheme="minorHAnsi" w:hAnsiTheme="minorHAnsi"/>
                <w:color w:val="000000" w:themeColor="text1"/>
                <w:sz w:val="18"/>
                <w:szCs w:val="18"/>
              </w:rPr>
              <w:t>low,</w:t>
            </w:r>
            <w:proofErr w:type="gramEnd"/>
            <w:r w:rsidRPr="009C2A96">
              <w:rPr>
                <w:rFonts w:asciiTheme="minorHAnsi" w:hAnsiTheme="minorHAnsi"/>
                <w:color w:val="000000" w:themeColor="text1"/>
                <w:sz w:val="18"/>
                <w:szCs w:val="18"/>
              </w:rPr>
              <w:t xml:space="preserve"> hence the milk levels are low as well. Milk/plasma ratios are generally less than one. In one study of 3 patients, the average milk concentration was </w:t>
            </w:r>
            <w:proofErr w:type="gramStart"/>
            <w:r w:rsidRPr="009C2A96">
              <w:rPr>
                <w:rFonts w:asciiTheme="minorHAnsi" w:hAnsiTheme="minorHAnsi"/>
                <w:color w:val="000000" w:themeColor="text1"/>
                <w:sz w:val="18"/>
                <w:szCs w:val="18"/>
              </w:rPr>
              <w:t>only 35.4 µg/L</w:t>
            </w:r>
            <w:proofErr w:type="gramEnd"/>
            <w:r w:rsidRPr="009C2A96">
              <w:rPr>
                <w:rFonts w:asciiTheme="minorHAnsi" w:hAnsiTheme="minorHAnsi"/>
                <w:color w:val="000000" w:themeColor="text1"/>
                <w:sz w:val="18"/>
                <w:szCs w:val="18"/>
              </w:rPr>
              <w:t xml:space="preserve"> after multiple dosing intervals. The milk/plasma ratio varied from 0.33 to 1.65. Using this data, the authors suggest that an infant would receive only 70 µg/L of milk per day, which is &lt;0.1% of the maternal dose. In another patient who was receiving 20 mg orally every 8 hours, levels of propranolol ranged from zero </w:t>
            </w:r>
            <w:proofErr w:type="gramStart"/>
            <w:r w:rsidRPr="009C2A96">
              <w:rPr>
                <w:rFonts w:asciiTheme="minorHAnsi" w:hAnsiTheme="minorHAnsi"/>
                <w:color w:val="000000" w:themeColor="text1"/>
                <w:sz w:val="18"/>
                <w:szCs w:val="18"/>
              </w:rPr>
              <w:t>to 5 µg/L.</w:t>
            </w:r>
            <w:proofErr w:type="gramEnd"/>
            <w:r w:rsidRPr="009C2A96">
              <w:rPr>
                <w:rFonts w:asciiTheme="minorHAnsi" w:hAnsiTheme="minorHAnsi"/>
                <w:color w:val="000000" w:themeColor="text1"/>
                <w:sz w:val="18"/>
                <w:szCs w:val="18"/>
              </w:rPr>
              <w:t xml:space="preserve"> In another study of a patient receiving 20 mg twice daily, milk levels varied from 4 to 20 µg/L with an estimated average dose to infant </w:t>
            </w:r>
            <w:proofErr w:type="gramStart"/>
            <w:r w:rsidRPr="009C2A96">
              <w:rPr>
                <w:rFonts w:asciiTheme="minorHAnsi" w:hAnsiTheme="minorHAnsi"/>
                <w:color w:val="000000" w:themeColor="text1"/>
                <w:sz w:val="18"/>
                <w:szCs w:val="18"/>
              </w:rPr>
              <w:t>of 3 µg/day</w:t>
            </w:r>
            <w:proofErr w:type="gramEnd"/>
            <w:r w:rsidRPr="009C2A96">
              <w:rPr>
                <w:rFonts w:asciiTheme="minorHAnsi" w:hAnsiTheme="minorHAnsi"/>
                <w:color w:val="000000" w:themeColor="text1"/>
                <w:sz w:val="18"/>
                <w:szCs w:val="18"/>
              </w:rPr>
              <w:t xml:space="preserve">. In another patient receiving 40 mg four times daily, the peak concentration occurred at 3 hours after dosing. Milk levels varied from zero </w:t>
            </w:r>
            <w:proofErr w:type="gramStart"/>
            <w:r w:rsidRPr="009C2A96">
              <w:rPr>
                <w:rFonts w:asciiTheme="minorHAnsi" w:hAnsiTheme="minorHAnsi"/>
                <w:color w:val="000000" w:themeColor="text1"/>
                <w:sz w:val="18"/>
                <w:szCs w:val="18"/>
              </w:rPr>
              <w:t>to 9 µg/L.</w:t>
            </w:r>
            <w:proofErr w:type="gramEnd"/>
            <w:r w:rsidRPr="009C2A96">
              <w:rPr>
                <w:rFonts w:asciiTheme="minorHAnsi" w:hAnsiTheme="minorHAnsi"/>
                <w:color w:val="000000" w:themeColor="text1"/>
                <w:sz w:val="18"/>
                <w:szCs w:val="18"/>
              </w:rPr>
              <w:t xml:space="preserve"> After a 30 day regimen of 240 mg/day propranolol, the pre-dose and post-dose </w:t>
            </w:r>
            <w:proofErr w:type="gramStart"/>
            <w:r w:rsidRPr="009C2A96">
              <w:rPr>
                <w:rFonts w:asciiTheme="minorHAnsi" w:hAnsiTheme="minorHAnsi"/>
                <w:color w:val="000000" w:themeColor="text1"/>
                <w:sz w:val="18"/>
                <w:szCs w:val="18"/>
              </w:rPr>
              <w:t>concentrations in breastmilk was</w:t>
            </w:r>
            <w:proofErr w:type="gramEnd"/>
            <w:r w:rsidRPr="009C2A96">
              <w:rPr>
                <w:rFonts w:asciiTheme="minorHAnsi" w:hAnsiTheme="minorHAnsi"/>
                <w:color w:val="000000" w:themeColor="text1"/>
                <w:sz w:val="18"/>
                <w:szCs w:val="18"/>
              </w:rPr>
              <w:t xml:space="preserve"> 26 and 64 µg/L respectively. No symptoms or signs of beta blockade were noted in this infant. The above amounts in milk would likely be clinically insignificant. Long term exposure has not been studied, and caution is urged. Of the beta blocker family, propranolol is probably preferred in lactating women. Use with great caution, if at all, in mothers or infants with asthma. </w:t>
            </w:r>
            <w:r w:rsidR="009C2A96" w:rsidRPr="009C2A96">
              <w:rPr>
                <w:rFonts w:asciiTheme="minorHAnsi" w:hAnsiTheme="minorHAnsi"/>
                <w:color w:val="000000" w:themeColor="text1"/>
                <w:sz w:val="18"/>
                <w:szCs w:val="18"/>
              </w:rPr>
              <w:t>T</w:t>
            </w:r>
            <w:r w:rsidR="009C2A96" w:rsidRPr="009C2A96">
              <w:rPr>
                <w:rFonts w:asciiTheme="minorHAnsi" w:hAnsiTheme="minorHAnsi"/>
                <w:b/>
                <w:color w:val="auto"/>
                <w:sz w:val="18"/>
                <w:szCs w:val="18"/>
              </w:rPr>
              <w:t xml:space="preserve">½ </w:t>
            </w:r>
            <w:r w:rsidRPr="009C2A96">
              <w:rPr>
                <w:rFonts w:asciiTheme="minorHAnsi" w:hAnsiTheme="minorHAnsi"/>
                <w:color w:val="000000" w:themeColor="text1"/>
                <w:sz w:val="18"/>
                <w:szCs w:val="18"/>
              </w:rPr>
              <w:t>3-5</w:t>
            </w:r>
            <w:r w:rsidR="00142D40" w:rsidRPr="009C2A96">
              <w:rPr>
                <w:rFonts w:asciiTheme="minorHAnsi" w:hAnsiTheme="minorHAnsi"/>
                <w:color w:val="000000" w:themeColor="text1"/>
                <w:sz w:val="18"/>
                <w:szCs w:val="18"/>
              </w:rPr>
              <w:t xml:space="preserve">h. M/P </w:t>
            </w:r>
            <w:r w:rsidRPr="009C2A96">
              <w:rPr>
                <w:rFonts w:asciiTheme="minorHAnsi" w:hAnsiTheme="minorHAnsi"/>
                <w:color w:val="000000" w:themeColor="text1"/>
                <w:sz w:val="18"/>
                <w:szCs w:val="18"/>
              </w:rPr>
              <w:t>0.5. PB 90</w:t>
            </w:r>
            <w:r w:rsidR="00142D40" w:rsidRPr="009C2A96">
              <w:rPr>
                <w:rFonts w:asciiTheme="minorHAnsi" w:hAnsiTheme="minorHAnsi"/>
                <w:color w:val="000000" w:themeColor="text1"/>
                <w:sz w:val="18"/>
                <w:szCs w:val="18"/>
              </w:rPr>
              <w:t xml:space="preserve">%. Oral </w:t>
            </w:r>
            <w:r w:rsidRPr="009C2A96">
              <w:rPr>
                <w:rFonts w:asciiTheme="minorHAnsi" w:hAnsiTheme="minorHAnsi"/>
                <w:color w:val="000000" w:themeColor="text1"/>
                <w:sz w:val="18"/>
                <w:szCs w:val="18"/>
              </w:rPr>
              <w:t xml:space="preserve">30% </w:t>
            </w:r>
            <w:proofErr w:type="spellStart"/>
            <w:r w:rsidRPr="009C2A96">
              <w:rPr>
                <w:rFonts w:asciiTheme="minorHAnsi" w:hAnsiTheme="minorHAnsi"/>
                <w:color w:val="000000" w:themeColor="text1"/>
                <w:sz w:val="18"/>
                <w:szCs w:val="18"/>
              </w:rPr>
              <w:t>pKa</w:t>
            </w:r>
            <w:proofErr w:type="spellEnd"/>
            <w:r w:rsidRPr="009C2A96">
              <w:rPr>
                <w:rFonts w:asciiTheme="minorHAnsi" w:hAnsiTheme="minorHAnsi"/>
                <w:color w:val="000000" w:themeColor="text1"/>
                <w:sz w:val="18"/>
                <w:szCs w:val="18"/>
              </w:rPr>
              <w:t xml:space="preserve"> 9.5</w:t>
            </w:r>
            <w:r w:rsidR="00142D40" w:rsidRPr="009C2A96">
              <w:rPr>
                <w:rFonts w:asciiTheme="minorHAnsi" w:hAnsiTheme="minorHAnsi"/>
                <w:color w:val="000000" w:themeColor="text1"/>
                <w:sz w:val="18"/>
                <w:szCs w:val="18"/>
              </w:rPr>
              <w:t xml:space="preserve">. Cat </w:t>
            </w:r>
            <w:r w:rsidRPr="009C2A96">
              <w:rPr>
                <w:rFonts w:asciiTheme="minorHAnsi" w:hAnsiTheme="minorHAnsi"/>
                <w:color w:val="000000" w:themeColor="text1"/>
                <w:sz w:val="18"/>
                <w:szCs w:val="18"/>
              </w:rPr>
              <w:t>L2 - Limited Data-Probably Compatible</w:t>
            </w:r>
          </w:p>
        </w:tc>
      </w:tr>
      <w:tr w:rsidR="00E70375" w:rsidRPr="00994955" w:rsidTr="003D23D7">
        <w:tc>
          <w:tcPr>
            <w:tcW w:w="1986" w:type="dxa"/>
            <w:vMerge/>
            <w:tcBorders>
              <w:top w:val="single" w:sz="2" w:space="0" w:color="A6A6A6"/>
              <w:bottom w:val="single" w:sz="2" w:space="0" w:color="A6A6A6"/>
            </w:tcBorders>
            <w:shd w:val="clear" w:color="auto" w:fill="auto"/>
          </w:tcPr>
          <w:p w:rsidR="00E70375" w:rsidRPr="00E97CE7" w:rsidRDefault="00E70375" w:rsidP="003D23D7">
            <w:pPr>
              <w:spacing w:after="120"/>
              <w:rPr>
                <w:b/>
                <w:color w:val="auto"/>
              </w:rPr>
            </w:pPr>
          </w:p>
        </w:tc>
        <w:tc>
          <w:tcPr>
            <w:tcW w:w="992" w:type="dxa"/>
            <w:tcBorders>
              <w:top w:val="single" w:sz="2" w:space="0" w:color="A6A6A6"/>
              <w:bottom w:val="single" w:sz="2" w:space="0" w:color="A6A6A6"/>
            </w:tcBorders>
            <w:shd w:val="clear" w:color="auto" w:fill="auto"/>
          </w:tcPr>
          <w:p w:rsidR="00E70375" w:rsidRPr="00E97CE7" w:rsidRDefault="00E70375" w:rsidP="003D23D7">
            <w:pPr>
              <w:rPr>
                <w:rFonts w:ascii="Calibri" w:hAnsi="Calibri"/>
                <w:b/>
                <w:color w:val="auto"/>
                <w:sz w:val="18"/>
                <w:szCs w:val="18"/>
              </w:rPr>
            </w:pPr>
            <w:r w:rsidRPr="00E97CE7">
              <w:rPr>
                <w:rFonts w:ascii="Calibri" w:hAnsi="Calibri"/>
                <w:b/>
                <w:color w:val="auto"/>
                <w:sz w:val="18"/>
                <w:szCs w:val="18"/>
              </w:rPr>
              <w:t>Briggs</w:t>
            </w:r>
          </w:p>
        </w:tc>
        <w:tc>
          <w:tcPr>
            <w:tcW w:w="7348" w:type="dxa"/>
            <w:tcBorders>
              <w:top w:val="single" w:sz="2" w:space="0" w:color="A6A6A6"/>
              <w:bottom w:val="single" w:sz="2" w:space="0" w:color="A6A6A6"/>
            </w:tcBorders>
            <w:shd w:val="clear" w:color="auto" w:fill="auto"/>
          </w:tcPr>
          <w:p w:rsidR="00E70375" w:rsidRPr="009C2A96" w:rsidRDefault="00716B59" w:rsidP="003D23D7">
            <w:pPr>
              <w:rPr>
                <w:rFonts w:asciiTheme="minorHAnsi" w:hAnsiTheme="minorHAnsi"/>
                <w:color w:val="000000" w:themeColor="text1"/>
                <w:sz w:val="18"/>
                <w:szCs w:val="18"/>
              </w:rPr>
            </w:pPr>
            <w:r w:rsidRPr="009C2A96">
              <w:rPr>
                <w:rFonts w:asciiTheme="minorHAnsi" w:hAnsiTheme="minorHAnsi"/>
                <w:sz w:val="18"/>
                <w:szCs w:val="18"/>
              </w:rPr>
              <w:t>No Human Data—Potential Toxicity</w:t>
            </w:r>
          </w:p>
        </w:tc>
      </w:tr>
      <w:tr w:rsidR="00E70375" w:rsidRPr="00994955" w:rsidTr="003D23D7">
        <w:tc>
          <w:tcPr>
            <w:tcW w:w="1986" w:type="dxa"/>
            <w:vMerge/>
            <w:tcBorders>
              <w:top w:val="single" w:sz="2" w:space="0" w:color="A6A6A6"/>
              <w:bottom w:val="single" w:sz="2" w:space="0" w:color="000000"/>
            </w:tcBorders>
            <w:shd w:val="clear" w:color="auto" w:fill="auto"/>
          </w:tcPr>
          <w:p w:rsidR="00E70375" w:rsidRPr="00E97CE7" w:rsidRDefault="00E70375" w:rsidP="003D23D7">
            <w:pPr>
              <w:spacing w:after="120"/>
              <w:rPr>
                <w:b/>
                <w:color w:val="auto"/>
              </w:rPr>
            </w:pPr>
          </w:p>
        </w:tc>
        <w:tc>
          <w:tcPr>
            <w:tcW w:w="992" w:type="dxa"/>
            <w:tcBorders>
              <w:top w:val="single" w:sz="2" w:space="0" w:color="A6A6A6"/>
              <w:bottom w:val="single" w:sz="2" w:space="0" w:color="000000"/>
            </w:tcBorders>
            <w:shd w:val="clear" w:color="auto" w:fill="auto"/>
          </w:tcPr>
          <w:p w:rsidR="00E70375" w:rsidRPr="00E97CE7" w:rsidRDefault="00E70375" w:rsidP="003D23D7">
            <w:pPr>
              <w:rPr>
                <w:rFonts w:ascii="Calibri" w:hAnsi="Calibri"/>
                <w:b/>
                <w:color w:val="auto"/>
                <w:sz w:val="18"/>
                <w:szCs w:val="18"/>
              </w:rPr>
            </w:pPr>
          </w:p>
        </w:tc>
        <w:tc>
          <w:tcPr>
            <w:tcW w:w="7348" w:type="dxa"/>
            <w:tcBorders>
              <w:top w:val="single" w:sz="2" w:space="0" w:color="A6A6A6"/>
              <w:bottom w:val="single" w:sz="2" w:space="0" w:color="000000"/>
            </w:tcBorders>
            <w:shd w:val="clear" w:color="auto" w:fill="auto"/>
          </w:tcPr>
          <w:p w:rsidR="00E70375" w:rsidRPr="009C2A96" w:rsidRDefault="00E70375" w:rsidP="003D23D7">
            <w:pPr>
              <w:rPr>
                <w:rFonts w:asciiTheme="minorHAnsi" w:hAnsiTheme="minorHAnsi"/>
                <w:color w:val="000000" w:themeColor="text1"/>
                <w:sz w:val="18"/>
                <w:szCs w:val="18"/>
              </w:rPr>
            </w:pPr>
          </w:p>
        </w:tc>
      </w:tr>
      <w:tr w:rsidR="00E70375" w:rsidRPr="00994955" w:rsidTr="003D23D7">
        <w:tc>
          <w:tcPr>
            <w:tcW w:w="1986" w:type="dxa"/>
            <w:vMerge w:val="restart"/>
            <w:tcBorders>
              <w:top w:val="single" w:sz="2" w:space="0" w:color="000000"/>
              <w:bottom w:val="single" w:sz="2" w:space="0" w:color="A6A6A6"/>
            </w:tcBorders>
            <w:shd w:val="clear" w:color="auto" w:fill="auto"/>
          </w:tcPr>
          <w:p w:rsidR="00E70375" w:rsidRPr="00E97CE7" w:rsidRDefault="00E70375" w:rsidP="003D23D7">
            <w:pPr>
              <w:spacing w:after="120"/>
              <w:rPr>
                <w:b/>
                <w:color w:val="auto"/>
              </w:rPr>
            </w:pPr>
            <w:r>
              <w:rPr>
                <w:b/>
                <w:color w:val="auto"/>
              </w:rPr>
              <w:t xml:space="preserve">Timolol </w:t>
            </w:r>
            <w:r>
              <w:rPr>
                <w:b/>
                <w:i/>
                <w:color w:val="auto"/>
              </w:rPr>
              <w:t xml:space="preserve">- </w:t>
            </w:r>
            <w:r>
              <w:rPr>
                <w:b/>
                <w:color w:val="auto"/>
              </w:rPr>
              <w:t>oral</w:t>
            </w:r>
          </w:p>
        </w:tc>
        <w:tc>
          <w:tcPr>
            <w:tcW w:w="992" w:type="dxa"/>
            <w:tcBorders>
              <w:top w:val="single" w:sz="2" w:space="0" w:color="000000"/>
              <w:bottom w:val="single" w:sz="2" w:space="0" w:color="A6A6A6"/>
            </w:tcBorders>
            <w:shd w:val="clear" w:color="auto" w:fill="auto"/>
          </w:tcPr>
          <w:p w:rsidR="00E70375" w:rsidRPr="00E97CE7" w:rsidRDefault="00E70375" w:rsidP="003D23D7">
            <w:pPr>
              <w:rPr>
                <w:rFonts w:ascii="Calibri" w:hAnsi="Calibri"/>
                <w:b/>
                <w:color w:val="auto"/>
                <w:sz w:val="18"/>
                <w:szCs w:val="18"/>
              </w:rPr>
            </w:pPr>
            <w:r w:rsidRPr="00E97CE7">
              <w:rPr>
                <w:rFonts w:ascii="Calibri" w:hAnsi="Calibri"/>
                <w:b/>
                <w:color w:val="auto"/>
                <w:sz w:val="18"/>
                <w:szCs w:val="18"/>
              </w:rPr>
              <w:t>LactMed</w:t>
            </w:r>
          </w:p>
        </w:tc>
        <w:tc>
          <w:tcPr>
            <w:tcW w:w="7348" w:type="dxa"/>
            <w:tcBorders>
              <w:top w:val="single" w:sz="2" w:space="0" w:color="000000"/>
              <w:bottom w:val="single" w:sz="2" w:space="0" w:color="A6A6A6"/>
            </w:tcBorders>
            <w:shd w:val="clear" w:color="auto" w:fill="auto"/>
          </w:tcPr>
          <w:p w:rsidR="00E70375" w:rsidRPr="009C2A96" w:rsidRDefault="004D6B43" w:rsidP="003D23D7">
            <w:pPr>
              <w:rPr>
                <w:rFonts w:asciiTheme="minorHAnsi" w:hAnsiTheme="minorHAnsi"/>
                <w:color w:val="000000" w:themeColor="text1"/>
                <w:sz w:val="18"/>
                <w:szCs w:val="18"/>
              </w:rPr>
            </w:pPr>
            <w:r w:rsidRPr="009C2A96">
              <w:rPr>
                <w:rFonts w:asciiTheme="minorHAnsi" w:hAnsiTheme="minorHAnsi"/>
                <w:color w:val="000000" w:themeColor="text1"/>
                <w:sz w:val="18"/>
                <w:szCs w:val="18"/>
                <w:lang w:val="en"/>
              </w:rPr>
              <w:t xml:space="preserve">Because of the variability in excretion of </w:t>
            </w:r>
            <w:r w:rsidRPr="009C2A96">
              <w:rPr>
                <w:rStyle w:val="Strong"/>
                <w:rFonts w:asciiTheme="minorHAnsi" w:hAnsiTheme="minorHAnsi"/>
                <w:b w:val="0"/>
                <w:color w:val="000000" w:themeColor="text1"/>
                <w:sz w:val="18"/>
                <w:szCs w:val="18"/>
                <w:lang w:val="en"/>
              </w:rPr>
              <w:t>timolol</w:t>
            </w:r>
            <w:r w:rsidRPr="009C2A96">
              <w:rPr>
                <w:rFonts w:asciiTheme="minorHAnsi" w:hAnsiTheme="minorHAnsi"/>
                <w:color w:val="000000" w:themeColor="text1"/>
                <w:sz w:val="18"/>
                <w:szCs w:val="18"/>
                <w:lang w:val="en"/>
              </w:rPr>
              <w:t xml:space="preserve"> into breastmilk and minimal reported experience during breastfeeding, other agents may be preferred, especially while nursing a newborn or preterm infant.</w:t>
            </w:r>
          </w:p>
        </w:tc>
      </w:tr>
      <w:tr w:rsidR="00E70375" w:rsidRPr="00994955" w:rsidTr="003D23D7">
        <w:tc>
          <w:tcPr>
            <w:tcW w:w="1986" w:type="dxa"/>
            <w:vMerge/>
            <w:tcBorders>
              <w:top w:val="single" w:sz="2" w:space="0" w:color="A6A6A6"/>
              <w:bottom w:val="single" w:sz="2" w:space="0" w:color="A6A6A6"/>
            </w:tcBorders>
            <w:shd w:val="clear" w:color="auto" w:fill="auto"/>
          </w:tcPr>
          <w:p w:rsidR="00E70375" w:rsidRPr="00E97CE7" w:rsidRDefault="00E70375" w:rsidP="003D23D7">
            <w:pPr>
              <w:spacing w:after="120"/>
              <w:rPr>
                <w:b/>
                <w:color w:val="auto"/>
              </w:rPr>
            </w:pPr>
          </w:p>
        </w:tc>
        <w:tc>
          <w:tcPr>
            <w:tcW w:w="992" w:type="dxa"/>
            <w:tcBorders>
              <w:top w:val="single" w:sz="2" w:space="0" w:color="A6A6A6"/>
              <w:bottom w:val="single" w:sz="2" w:space="0" w:color="A6A6A6"/>
            </w:tcBorders>
            <w:shd w:val="clear" w:color="auto" w:fill="auto"/>
          </w:tcPr>
          <w:p w:rsidR="00E70375" w:rsidRPr="00E97CE7" w:rsidRDefault="00E70375" w:rsidP="003D23D7">
            <w:pPr>
              <w:rPr>
                <w:rFonts w:ascii="Calibri" w:hAnsi="Calibri"/>
                <w:b/>
                <w:color w:val="auto"/>
                <w:sz w:val="18"/>
                <w:szCs w:val="18"/>
              </w:rPr>
            </w:pPr>
            <w:r w:rsidRPr="00E97CE7">
              <w:rPr>
                <w:rFonts w:ascii="Calibri" w:hAnsi="Calibri"/>
                <w:b/>
                <w:color w:val="auto"/>
                <w:sz w:val="18"/>
                <w:szCs w:val="18"/>
              </w:rPr>
              <w:t>Hale</w:t>
            </w:r>
          </w:p>
        </w:tc>
        <w:tc>
          <w:tcPr>
            <w:tcW w:w="7348" w:type="dxa"/>
            <w:tcBorders>
              <w:top w:val="single" w:sz="2" w:space="0" w:color="A6A6A6"/>
              <w:bottom w:val="single" w:sz="2" w:space="0" w:color="A6A6A6"/>
            </w:tcBorders>
            <w:shd w:val="clear" w:color="auto" w:fill="auto"/>
          </w:tcPr>
          <w:p w:rsidR="00E70375" w:rsidRPr="009C2A96" w:rsidRDefault="003F204B" w:rsidP="009C2A96">
            <w:pPr>
              <w:rPr>
                <w:rFonts w:asciiTheme="minorHAnsi" w:hAnsiTheme="minorHAnsi"/>
                <w:color w:val="000000" w:themeColor="text1"/>
                <w:sz w:val="18"/>
                <w:szCs w:val="18"/>
              </w:rPr>
            </w:pPr>
            <w:r w:rsidRPr="009C2A96">
              <w:rPr>
                <w:rFonts w:asciiTheme="minorHAnsi" w:hAnsiTheme="minorHAnsi"/>
                <w:color w:val="000000" w:themeColor="text1"/>
                <w:sz w:val="18"/>
                <w:szCs w:val="18"/>
              </w:rPr>
              <w:t xml:space="preserve">It is secreted into milk. Following a dose of 5 mg three times daily, milk levels averaged </w:t>
            </w:r>
            <w:proofErr w:type="gramStart"/>
            <w:r w:rsidRPr="009C2A96">
              <w:rPr>
                <w:rFonts w:asciiTheme="minorHAnsi" w:hAnsiTheme="minorHAnsi"/>
                <w:color w:val="000000" w:themeColor="text1"/>
                <w:sz w:val="18"/>
                <w:szCs w:val="18"/>
              </w:rPr>
              <w:t>15.9 µg/L.</w:t>
            </w:r>
            <w:proofErr w:type="gramEnd"/>
            <w:r w:rsidRPr="009C2A96">
              <w:rPr>
                <w:rFonts w:asciiTheme="minorHAnsi" w:hAnsiTheme="minorHAnsi"/>
                <w:color w:val="000000" w:themeColor="text1"/>
                <w:sz w:val="18"/>
                <w:szCs w:val="18"/>
              </w:rPr>
              <w:t xml:space="preserve"> Both oral and ophthalmic drops produce modest levels in milk. </w:t>
            </w:r>
            <w:r w:rsidR="009C2A96" w:rsidRPr="009C2A96">
              <w:rPr>
                <w:rFonts w:asciiTheme="minorHAnsi" w:hAnsiTheme="minorHAnsi"/>
                <w:color w:val="000000" w:themeColor="text1"/>
                <w:sz w:val="18"/>
                <w:szCs w:val="18"/>
              </w:rPr>
              <w:t>T</w:t>
            </w:r>
            <w:r w:rsidR="009C2A96" w:rsidRPr="009C2A96">
              <w:rPr>
                <w:rFonts w:asciiTheme="minorHAnsi" w:hAnsiTheme="minorHAnsi"/>
                <w:b/>
                <w:color w:val="auto"/>
                <w:sz w:val="18"/>
                <w:szCs w:val="18"/>
              </w:rPr>
              <w:t xml:space="preserve">½ </w:t>
            </w:r>
            <w:r w:rsidR="009C2A96" w:rsidRPr="009C2A96">
              <w:rPr>
                <w:rFonts w:asciiTheme="minorHAnsi" w:hAnsiTheme="minorHAnsi"/>
                <w:color w:val="auto"/>
                <w:sz w:val="18"/>
                <w:szCs w:val="18"/>
              </w:rPr>
              <w:t>4h</w:t>
            </w:r>
            <w:r w:rsidR="00142D40" w:rsidRPr="009C2A96">
              <w:rPr>
                <w:rFonts w:asciiTheme="minorHAnsi" w:hAnsiTheme="minorHAnsi"/>
                <w:color w:val="000000" w:themeColor="text1"/>
                <w:sz w:val="18"/>
                <w:szCs w:val="18"/>
              </w:rPr>
              <w:t xml:space="preserve">. M/P </w:t>
            </w:r>
            <w:r w:rsidRPr="009C2A96">
              <w:rPr>
                <w:rFonts w:asciiTheme="minorHAnsi" w:hAnsiTheme="minorHAnsi"/>
                <w:color w:val="000000" w:themeColor="text1"/>
                <w:sz w:val="18"/>
                <w:szCs w:val="18"/>
              </w:rPr>
              <w:t>0.8. PB 10</w:t>
            </w:r>
            <w:r w:rsidR="00142D40" w:rsidRPr="009C2A96">
              <w:rPr>
                <w:rFonts w:asciiTheme="minorHAnsi" w:hAnsiTheme="minorHAnsi"/>
                <w:color w:val="000000" w:themeColor="text1"/>
                <w:sz w:val="18"/>
                <w:szCs w:val="18"/>
              </w:rPr>
              <w:t xml:space="preserve">%. Oral </w:t>
            </w:r>
            <w:r w:rsidRPr="009C2A96">
              <w:rPr>
                <w:rFonts w:asciiTheme="minorHAnsi" w:hAnsiTheme="minorHAnsi"/>
                <w:color w:val="000000" w:themeColor="text1"/>
                <w:sz w:val="18"/>
                <w:szCs w:val="18"/>
              </w:rPr>
              <w:t xml:space="preserve">50% </w:t>
            </w:r>
            <w:proofErr w:type="spellStart"/>
            <w:r w:rsidRPr="009C2A96">
              <w:rPr>
                <w:rFonts w:asciiTheme="minorHAnsi" w:hAnsiTheme="minorHAnsi"/>
                <w:color w:val="000000" w:themeColor="text1"/>
                <w:sz w:val="18"/>
                <w:szCs w:val="18"/>
              </w:rPr>
              <w:t>pKa</w:t>
            </w:r>
            <w:proofErr w:type="spellEnd"/>
            <w:r w:rsidRPr="009C2A96">
              <w:rPr>
                <w:rFonts w:asciiTheme="minorHAnsi" w:hAnsiTheme="minorHAnsi"/>
                <w:color w:val="000000" w:themeColor="text1"/>
                <w:sz w:val="18"/>
                <w:szCs w:val="18"/>
              </w:rPr>
              <w:t xml:space="preserve"> 9.2</w:t>
            </w:r>
            <w:r w:rsidR="00142D40" w:rsidRPr="009C2A96">
              <w:rPr>
                <w:rFonts w:asciiTheme="minorHAnsi" w:hAnsiTheme="minorHAnsi"/>
                <w:color w:val="000000" w:themeColor="text1"/>
                <w:sz w:val="18"/>
                <w:szCs w:val="18"/>
              </w:rPr>
              <w:t xml:space="preserve">. Cat </w:t>
            </w:r>
            <w:r w:rsidRPr="009C2A96">
              <w:rPr>
                <w:rFonts w:asciiTheme="minorHAnsi" w:hAnsiTheme="minorHAnsi"/>
                <w:color w:val="000000" w:themeColor="text1"/>
                <w:sz w:val="18"/>
                <w:szCs w:val="18"/>
              </w:rPr>
              <w:t>L2 - Limited Data-Probably Compatible</w:t>
            </w:r>
          </w:p>
        </w:tc>
      </w:tr>
      <w:tr w:rsidR="00E70375" w:rsidRPr="00994955" w:rsidTr="003D23D7">
        <w:tc>
          <w:tcPr>
            <w:tcW w:w="1986" w:type="dxa"/>
            <w:vMerge/>
            <w:tcBorders>
              <w:top w:val="single" w:sz="2" w:space="0" w:color="A6A6A6"/>
              <w:bottom w:val="single" w:sz="2" w:space="0" w:color="A6A6A6"/>
            </w:tcBorders>
            <w:shd w:val="clear" w:color="auto" w:fill="auto"/>
          </w:tcPr>
          <w:p w:rsidR="00E70375" w:rsidRPr="00E97CE7" w:rsidRDefault="00E70375" w:rsidP="003D23D7">
            <w:pPr>
              <w:spacing w:after="120"/>
              <w:rPr>
                <w:b/>
                <w:color w:val="auto"/>
              </w:rPr>
            </w:pPr>
          </w:p>
        </w:tc>
        <w:tc>
          <w:tcPr>
            <w:tcW w:w="992" w:type="dxa"/>
            <w:tcBorders>
              <w:top w:val="single" w:sz="2" w:space="0" w:color="A6A6A6"/>
              <w:bottom w:val="single" w:sz="2" w:space="0" w:color="A6A6A6"/>
            </w:tcBorders>
            <w:shd w:val="clear" w:color="auto" w:fill="auto"/>
          </w:tcPr>
          <w:p w:rsidR="00E70375" w:rsidRPr="00E97CE7" w:rsidRDefault="00E70375" w:rsidP="003D23D7">
            <w:pPr>
              <w:rPr>
                <w:rFonts w:ascii="Calibri" w:hAnsi="Calibri"/>
                <w:b/>
                <w:color w:val="auto"/>
                <w:sz w:val="18"/>
                <w:szCs w:val="18"/>
              </w:rPr>
            </w:pPr>
            <w:r w:rsidRPr="00E97CE7">
              <w:rPr>
                <w:rFonts w:ascii="Calibri" w:hAnsi="Calibri"/>
                <w:b/>
                <w:color w:val="auto"/>
                <w:sz w:val="18"/>
                <w:szCs w:val="18"/>
              </w:rPr>
              <w:t>Briggs</w:t>
            </w:r>
          </w:p>
        </w:tc>
        <w:tc>
          <w:tcPr>
            <w:tcW w:w="7348" w:type="dxa"/>
            <w:tcBorders>
              <w:top w:val="single" w:sz="2" w:space="0" w:color="A6A6A6"/>
              <w:bottom w:val="single" w:sz="2" w:space="0" w:color="A6A6A6"/>
            </w:tcBorders>
            <w:shd w:val="clear" w:color="auto" w:fill="auto"/>
          </w:tcPr>
          <w:p w:rsidR="00E70375" w:rsidRPr="009C2A96" w:rsidRDefault="00716B59" w:rsidP="003D23D7">
            <w:pPr>
              <w:rPr>
                <w:rFonts w:asciiTheme="minorHAnsi" w:hAnsiTheme="minorHAnsi"/>
                <w:color w:val="000000" w:themeColor="text1"/>
                <w:sz w:val="18"/>
                <w:szCs w:val="18"/>
              </w:rPr>
            </w:pPr>
            <w:r w:rsidRPr="009C2A96">
              <w:rPr>
                <w:rFonts w:asciiTheme="minorHAnsi" w:hAnsiTheme="minorHAnsi"/>
                <w:sz w:val="18"/>
                <w:szCs w:val="18"/>
              </w:rPr>
              <w:t>Limited Human Data—Probably Compatible</w:t>
            </w:r>
          </w:p>
        </w:tc>
      </w:tr>
      <w:tr w:rsidR="00E70375" w:rsidRPr="00994955" w:rsidTr="003D23D7">
        <w:tc>
          <w:tcPr>
            <w:tcW w:w="1986" w:type="dxa"/>
            <w:vMerge/>
            <w:tcBorders>
              <w:top w:val="single" w:sz="2" w:space="0" w:color="A6A6A6"/>
              <w:bottom w:val="single" w:sz="2" w:space="0" w:color="000000"/>
            </w:tcBorders>
            <w:shd w:val="clear" w:color="auto" w:fill="auto"/>
          </w:tcPr>
          <w:p w:rsidR="00E70375" w:rsidRPr="00E97CE7" w:rsidRDefault="00E70375" w:rsidP="003D23D7">
            <w:pPr>
              <w:spacing w:after="120"/>
              <w:rPr>
                <w:b/>
                <w:color w:val="auto"/>
              </w:rPr>
            </w:pPr>
          </w:p>
        </w:tc>
        <w:tc>
          <w:tcPr>
            <w:tcW w:w="992" w:type="dxa"/>
            <w:tcBorders>
              <w:top w:val="single" w:sz="2" w:space="0" w:color="A6A6A6"/>
              <w:bottom w:val="single" w:sz="2" w:space="0" w:color="000000"/>
            </w:tcBorders>
            <w:shd w:val="clear" w:color="auto" w:fill="auto"/>
          </w:tcPr>
          <w:p w:rsidR="00E70375" w:rsidRPr="00E97CE7" w:rsidRDefault="00E70375" w:rsidP="003D23D7">
            <w:pPr>
              <w:rPr>
                <w:rFonts w:ascii="Calibri" w:hAnsi="Calibri"/>
                <w:b/>
                <w:color w:val="auto"/>
                <w:sz w:val="18"/>
                <w:szCs w:val="18"/>
              </w:rPr>
            </w:pPr>
          </w:p>
        </w:tc>
        <w:tc>
          <w:tcPr>
            <w:tcW w:w="7348" w:type="dxa"/>
            <w:tcBorders>
              <w:top w:val="single" w:sz="2" w:space="0" w:color="A6A6A6"/>
              <w:bottom w:val="single" w:sz="2" w:space="0" w:color="000000"/>
            </w:tcBorders>
            <w:shd w:val="clear" w:color="auto" w:fill="auto"/>
          </w:tcPr>
          <w:p w:rsidR="00E70375" w:rsidRPr="009C2A96" w:rsidRDefault="00E70375" w:rsidP="003D23D7">
            <w:pPr>
              <w:rPr>
                <w:rFonts w:asciiTheme="minorHAnsi" w:hAnsiTheme="minorHAnsi"/>
                <w:color w:val="000000" w:themeColor="text1"/>
                <w:sz w:val="18"/>
                <w:szCs w:val="18"/>
              </w:rPr>
            </w:pPr>
          </w:p>
        </w:tc>
      </w:tr>
    </w:tbl>
    <w:p w:rsidR="00CA0C8D" w:rsidRPr="00977D6D" w:rsidRDefault="00CA0C8D" w:rsidP="00CA0C8D">
      <w:pPr>
        <w:pStyle w:val="Heading3"/>
      </w:pPr>
      <w:r w:rsidRPr="00977D6D">
        <w:t>Governance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440"/>
        <w:gridCol w:w="2160"/>
        <w:gridCol w:w="1260"/>
      </w:tblGrid>
      <w:tr w:rsidR="00842335" w:rsidTr="00842335">
        <w:tc>
          <w:tcPr>
            <w:tcW w:w="4248" w:type="dxa"/>
            <w:shd w:val="thinReverseDiagStripe" w:color="auto" w:fill="F3F3F3"/>
          </w:tcPr>
          <w:p w:rsidR="00842335" w:rsidRPr="00DA6FAA" w:rsidRDefault="00842335" w:rsidP="00842335">
            <w:pPr>
              <w:spacing w:before="60" w:after="60"/>
              <w:rPr>
                <w:b/>
                <w:sz w:val="16"/>
                <w:szCs w:val="16"/>
              </w:rPr>
            </w:pPr>
            <w:r w:rsidRPr="00DA6FAA">
              <w:rPr>
                <w:b/>
                <w:sz w:val="16"/>
                <w:szCs w:val="16"/>
              </w:rPr>
              <w:t>Process</w:t>
            </w:r>
          </w:p>
        </w:tc>
        <w:tc>
          <w:tcPr>
            <w:tcW w:w="1440" w:type="dxa"/>
            <w:shd w:val="thinReverseDiagStripe" w:color="auto" w:fill="F3F3F3"/>
          </w:tcPr>
          <w:p w:rsidR="00842335" w:rsidRPr="00DA6FAA" w:rsidRDefault="00842335" w:rsidP="00842335">
            <w:pPr>
              <w:spacing w:before="60" w:after="60"/>
              <w:rPr>
                <w:b/>
                <w:sz w:val="16"/>
                <w:szCs w:val="16"/>
              </w:rPr>
            </w:pPr>
            <w:r w:rsidRPr="00DA6FAA">
              <w:rPr>
                <w:b/>
                <w:sz w:val="16"/>
                <w:szCs w:val="16"/>
              </w:rPr>
              <w:t>Date</w:t>
            </w:r>
          </w:p>
        </w:tc>
        <w:tc>
          <w:tcPr>
            <w:tcW w:w="2160" w:type="dxa"/>
            <w:shd w:val="thinReverseDiagStripe" w:color="auto" w:fill="F3F3F3"/>
          </w:tcPr>
          <w:p w:rsidR="00842335" w:rsidRPr="00DA6FAA" w:rsidRDefault="00842335" w:rsidP="00842335">
            <w:pPr>
              <w:spacing w:before="60" w:after="60"/>
              <w:rPr>
                <w:b/>
                <w:sz w:val="16"/>
                <w:szCs w:val="16"/>
              </w:rPr>
            </w:pPr>
          </w:p>
        </w:tc>
        <w:tc>
          <w:tcPr>
            <w:tcW w:w="1260" w:type="dxa"/>
            <w:shd w:val="thinReverseDiagStripe" w:color="auto" w:fill="F3F3F3"/>
          </w:tcPr>
          <w:p w:rsidR="00842335" w:rsidRPr="00DA6FAA" w:rsidRDefault="00842335" w:rsidP="00842335">
            <w:pPr>
              <w:spacing w:before="60" w:after="60"/>
              <w:rPr>
                <w:b/>
                <w:sz w:val="16"/>
                <w:szCs w:val="16"/>
              </w:rPr>
            </w:pPr>
            <w:r w:rsidRPr="00DA6FAA">
              <w:rPr>
                <w:b/>
                <w:sz w:val="16"/>
                <w:szCs w:val="16"/>
              </w:rPr>
              <w:t>Initials</w:t>
            </w:r>
          </w:p>
        </w:tc>
      </w:tr>
      <w:tr w:rsidR="00842335" w:rsidTr="00842335">
        <w:tc>
          <w:tcPr>
            <w:tcW w:w="4248" w:type="dxa"/>
            <w:shd w:val="clear" w:color="auto" w:fill="E0E0E0"/>
          </w:tcPr>
          <w:p w:rsidR="00842335" w:rsidRPr="0072095D" w:rsidRDefault="004276AB" w:rsidP="00842335">
            <w:pPr>
              <w:spacing w:before="60" w:after="60"/>
              <w:rPr>
                <w:sz w:val="16"/>
                <w:szCs w:val="16"/>
              </w:rPr>
            </w:pPr>
            <w:r w:rsidRPr="0072095D">
              <w:rPr>
                <w:sz w:val="16"/>
                <w:szCs w:val="16"/>
              </w:rPr>
              <w:t>Revised</w:t>
            </w:r>
          </w:p>
        </w:tc>
        <w:tc>
          <w:tcPr>
            <w:tcW w:w="1440" w:type="dxa"/>
            <w:shd w:val="clear" w:color="auto" w:fill="auto"/>
          </w:tcPr>
          <w:p w:rsidR="00842335" w:rsidRPr="0072095D" w:rsidRDefault="009C2A96" w:rsidP="00842335">
            <w:pPr>
              <w:spacing w:before="60" w:after="60"/>
              <w:rPr>
                <w:sz w:val="16"/>
                <w:szCs w:val="16"/>
              </w:rPr>
            </w:pPr>
            <w:r>
              <w:rPr>
                <w:sz w:val="16"/>
                <w:szCs w:val="16"/>
              </w:rPr>
              <w:t>25/09/2016</w:t>
            </w:r>
          </w:p>
        </w:tc>
        <w:tc>
          <w:tcPr>
            <w:tcW w:w="2160" w:type="dxa"/>
            <w:shd w:val="clear" w:color="auto" w:fill="E0E0E0"/>
          </w:tcPr>
          <w:p w:rsidR="00842335" w:rsidRPr="0072095D" w:rsidRDefault="00842335" w:rsidP="00842335">
            <w:pPr>
              <w:spacing w:before="60" w:after="60"/>
              <w:rPr>
                <w:sz w:val="16"/>
                <w:szCs w:val="16"/>
              </w:rPr>
            </w:pPr>
            <w:r w:rsidRPr="0072095D">
              <w:rPr>
                <w:sz w:val="16"/>
                <w:szCs w:val="16"/>
              </w:rPr>
              <w:t>Author</w:t>
            </w:r>
          </w:p>
        </w:tc>
        <w:tc>
          <w:tcPr>
            <w:tcW w:w="1260" w:type="dxa"/>
            <w:shd w:val="clear" w:color="auto" w:fill="auto"/>
          </w:tcPr>
          <w:p w:rsidR="00842335" w:rsidRPr="0072095D" w:rsidRDefault="004B4401" w:rsidP="00842335">
            <w:pPr>
              <w:spacing w:before="60" w:after="60"/>
              <w:rPr>
                <w:sz w:val="16"/>
                <w:szCs w:val="16"/>
              </w:rPr>
            </w:pPr>
            <w:r>
              <w:rPr>
                <w:sz w:val="16"/>
                <w:szCs w:val="16"/>
              </w:rPr>
              <w:t>PG</w:t>
            </w:r>
          </w:p>
        </w:tc>
      </w:tr>
      <w:tr w:rsidR="00842335" w:rsidTr="00842335">
        <w:tc>
          <w:tcPr>
            <w:tcW w:w="4248" w:type="dxa"/>
            <w:shd w:val="clear" w:color="auto" w:fill="E0E0E0"/>
          </w:tcPr>
          <w:p w:rsidR="00842335" w:rsidRPr="0072095D" w:rsidRDefault="00842335" w:rsidP="00842335">
            <w:pPr>
              <w:spacing w:before="60" w:after="60"/>
              <w:rPr>
                <w:sz w:val="16"/>
                <w:szCs w:val="16"/>
              </w:rPr>
            </w:pPr>
            <w:r w:rsidRPr="0072095D">
              <w:rPr>
                <w:sz w:val="16"/>
                <w:szCs w:val="16"/>
              </w:rPr>
              <w:t>Hardcopy checked</w:t>
            </w:r>
          </w:p>
        </w:tc>
        <w:tc>
          <w:tcPr>
            <w:tcW w:w="1440" w:type="dxa"/>
            <w:shd w:val="clear" w:color="auto" w:fill="auto"/>
          </w:tcPr>
          <w:p w:rsidR="00842335" w:rsidRPr="0072095D" w:rsidRDefault="00200686" w:rsidP="00842335">
            <w:pPr>
              <w:spacing w:before="60" w:after="60"/>
              <w:rPr>
                <w:sz w:val="16"/>
                <w:szCs w:val="16"/>
              </w:rPr>
            </w:pPr>
            <w:r>
              <w:rPr>
                <w:sz w:val="16"/>
                <w:szCs w:val="16"/>
              </w:rPr>
              <w:t>13/12/2016</w:t>
            </w:r>
          </w:p>
        </w:tc>
        <w:tc>
          <w:tcPr>
            <w:tcW w:w="2160" w:type="dxa"/>
            <w:shd w:val="clear" w:color="auto" w:fill="E0E0E0"/>
          </w:tcPr>
          <w:p w:rsidR="00842335" w:rsidRPr="0072095D" w:rsidRDefault="00842335" w:rsidP="00842335">
            <w:pPr>
              <w:spacing w:before="60" w:after="60"/>
              <w:rPr>
                <w:sz w:val="16"/>
                <w:szCs w:val="16"/>
              </w:rPr>
            </w:pPr>
            <w:r w:rsidRPr="0072095D">
              <w:rPr>
                <w:sz w:val="16"/>
                <w:szCs w:val="16"/>
              </w:rPr>
              <w:t>Checker</w:t>
            </w:r>
          </w:p>
        </w:tc>
        <w:tc>
          <w:tcPr>
            <w:tcW w:w="1260" w:type="dxa"/>
            <w:shd w:val="clear" w:color="auto" w:fill="auto"/>
          </w:tcPr>
          <w:p w:rsidR="00842335" w:rsidRPr="0072095D" w:rsidRDefault="00200686" w:rsidP="00842335">
            <w:pPr>
              <w:spacing w:before="60" w:after="60"/>
              <w:rPr>
                <w:sz w:val="16"/>
                <w:szCs w:val="16"/>
              </w:rPr>
            </w:pPr>
            <w:r>
              <w:rPr>
                <w:sz w:val="16"/>
                <w:szCs w:val="16"/>
              </w:rPr>
              <w:t>SF</w:t>
            </w:r>
          </w:p>
        </w:tc>
      </w:tr>
      <w:tr w:rsidR="00842335" w:rsidRPr="0072095D" w:rsidTr="00842335">
        <w:trPr>
          <w:gridAfter w:val="2"/>
          <w:wAfter w:w="3420" w:type="dxa"/>
        </w:trPr>
        <w:tc>
          <w:tcPr>
            <w:tcW w:w="4248" w:type="dxa"/>
            <w:shd w:val="clear" w:color="auto" w:fill="E0E0E0"/>
          </w:tcPr>
          <w:p w:rsidR="00842335" w:rsidRPr="0072095D" w:rsidRDefault="00842335" w:rsidP="00842335">
            <w:pPr>
              <w:spacing w:before="60" w:after="60"/>
              <w:rPr>
                <w:sz w:val="16"/>
                <w:szCs w:val="16"/>
              </w:rPr>
            </w:pPr>
            <w:r w:rsidRPr="0072095D">
              <w:rPr>
                <w:sz w:val="16"/>
                <w:szCs w:val="16"/>
              </w:rPr>
              <w:t>Hardcopy agreed</w:t>
            </w:r>
          </w:p>
        </w:tc>
        <w:tc>
          <w:tcPr>
            <w:tcW w:w="1440" w:type="dxa"/>
            <w:shd w:val="clear" w:color="auto" w:fill="auto"/>
          </w:tcPr>
          <w:p w:rsidR="00842335" w:rsidRPr="0072095D" w:rsidRDefault="0062121A" w:rsidP="00842335">
            <w:pPr>
              <w:spacing w:before="60" w:after="60"/>
              <w:rPr>
                <w:sz w:val="16"/>
                <w:szCs w:val="16"/>
              </w:rPr>
            </w:pPr>
            <w:r>
              <w:rPr>
                <w:sz w:val="16"/>
                <w:szCs w:val="16"/>
              </w:rPr>
              <w:t>09/01/2017</w:t>
            </w:r>
          </w:p>
        </w:tc>
      </w:tr>
      <w:tr w:rsidR="00842335" w:rsidTr="00842335">
        <w:tc>
          <w:tcPr>
            <w:tcW w:w="4248" w:type="dxa"/>
            <w:shd w:val="clear" w:color="auto" w:fill="E0E0E0"/>
          </w:tcPr>
          <w:p w:rsidR="00842335" w:rsidRPr="0072095D" w:rsidRDefault="00842335" w:rsidP="00842335">
            <w:pPr>
              <w:spacing w:before="60" w:after="60"/>
              <w:rPr>
                <w:sz w:val="16"/>
                <w:szCs w:val="16"/>
              </w:rPr>
            </w:pPr>
            <w:r w:rsidRPr="0072095D">
              <w:rPr>
                <w:sz w:val="16"/>
                <w:szCs w:val="16"/>
              </w:rPr>
              <w:t>Data entered online</w:t>
            </w:r>
            <w:r w:rsidR="0072095D" w:rsidRPr="0072095D">
              <w:rPr>
                <w:sz w:val="16"/>
                <w:szCs w:val="16"/>
              </w:rPr>
              <w:t xml:space="preserve"> (UKDILAS)</w:t>
            </w:r>
          </w:p>
        </w:tc>
        <w:tc>
          <w:tcPr>
            <w:tcW w:w="1440" w:type="dxa"/>
            <w:shd w:val="clear" w:color="auto" w:fill="auto"/>
          </w:tcPr>
          <w:p w:rsidR="00842335" w:rsidRPr="0072095D" w:rsidRDefault="00A06F59" w:rsidP="00842335">
            <w:pPr>
              <w:spacing w:before="60" w:after="60"/>
              <w:rPr>
                <w:sz w:val="16"/>
                <w:szCs w:val="16"/>
              </w:rPr>
            </w:pPr>
            <w:r>
              <w:rPr>
                <w:sz w:val="16"/>
                <w:szCs w:val="16"/>
              </w:rPr>
              <w:t>16/01/2017</w:t>
            </w:r>
          </w:p>
        </w:tc>
        <w:tc>
          <w:tcPr>
            <w:tcW w:w="2160" w:type="dxa"/>
            <w:shd w:val="clear" w:color="auto" w:fill="E0E0E0"/>
          </w:tcPr>
          <w:p w:rsidR="00842335" w:rsidRPr="0072095D" w:rsidRDefault="00842335" w:rsidP="00842335">
            <w:pPr>
              <w:spacing w:before="60" w:after="60"/>
              <w:rPr>
                <w:sz w:val="16"/>
                <w:szCs w:val="16"/>
              </w:rPr>
            </w:pPr>
            <w:r w:rsidRPr="0072095D">
              <w:rPr>
                <w:sz w:val="16"/>
                <w:szCs w:val="16"/>
              </w:rPr>
              <w:t>Input by</w:t>
            </w:r>
          </w:p>
        </w:tc>
        <w:tc>
          <w:tcPr>
            <w:tcW w:w="1260" w:type="dxa"/>
            <w:shd w:val="clear" w:color="auto" w:fill="auto"/>
          </w:tcPr>
          <w:p w:rsidR="00842335" w:rsidRPr="0072095D" w:rsidRDefault="00A06F59" w:rsidP="00842335">
            <w:pPr>
              <w:spacing w:before="60" w:after="60"/>
              <w:rPr>
                <w:sz w:val="16"/>
                <w:szCs w:val="16"/>
              </w:rPr>
            </w:pPr>
            <w:r>
              <w:rPr>
                <w:sz w:val="16"/>
                <w:szCs w:val="16"/>
              </w:rPr>
              <w:t>PG</w:t>
            </w:r>
          </w:p>
        </w:tc>
      </w:tr>
      <w:tr w:rsidR="00776059" w:rsidTr="00842335">
        <w:tc>
          <w:tcPr>
            <w:tcW w:w="4248" w:type="dxa"/>
            <w:shd w:val="clear" w:color="auto" w:fill="E0E0E0"/>
          </w:tcPr>
          <w:p w:rsidR="00776059" w:rsidRPr="0072095D" w:rsidRDefault="00776059" w:rsidP="00776059">
            <w:pPr>
              <w:spacing w:before="60" w:after="60"/>
              <w:rPr>
                <w:sz w:val="16"/>
                <w:szCs w:val="16"/>
              </w:rPr>
            </w:pPr>
            <w:r>
              <w:rPr>
                <w:sz w:val="16"/>
                <w:szCs w:val="16"/>
              </w:rPr>
              <w:t>Summary entered online (SPS)</w:t>
            </w:r>
          </w:p>
        </w:tc>
        <w:tc>
          <w:tcPr>
            <w:tcW w:w="1440" w:type="dxa"/>
            <w:shd w:val="clear" w:color="auto" w:fill="auto"/>
          </w:tcPr>
          <w:p w:rsidR="00776059" w:rsidRPr="0072095D" w:rsidRDefault="00A06F59" w:rsidP="00842335">
            <w:pPr>
              <w:spacing w:before="60" w:after="60"/>
              <w:rPr>
                <w:sz w:val="16"/>
                <w:szCs w:val="16"/>
              </w:rPr>
            </w:pPr>
            <w:r>
              <w:rPr>
                <w:sz w:val="16"/>
                <w:szCs w:val="16"/>
              </w:rPr>
              <w:t>16/01/2017</w:t>
            </w:r>
          </w:p>
        </w:tc>
        <w:tc>
          <w:tcPr>
            <w:tcW w:w="2160" w:type="dxa"/>
            <w:shd w:val="clear" w:color="auto" w:fill="E0E0E0"/>
          </w:tcPr>
          <w:p w:rsidR="00776059" w:rsidRDefault="00776059" w:rsidP="00842335">
            <w:pPr>
              <w:spacing w:before="60" w:after="60"/>
              <w:rPr>
                <w:sz w:val="16"/>
                <w:szCs w:val="16"/>
              </w:rPr>
            </w:pPr>
            <w:r w:rsidRPr="0072095D">
              <w:rPr>
                <w:sz w:val="16"/>
                <w:szCs w:val="16"/>
              </w:rPr>
              <w:t>Input by</w:t>
            </w:r>
          </w:p>
        </w:tc>
        <w:tc>
          <w:tcPr>
            <w:tcW w:w="1260" w:type="dxa"/>
            <w:shd w:val="clear" w:color="auto" w:fill="auto"/>
          </w:tcPr>
          <w:p w:rsidR="00776059" w:rsidRPr="0072095D" w:rsidRDefault="00A06F59" w:rsidP="00842335">
            <w:pPr>
              <w:spacing w:before="60" w:after="60"/>
              <w:rPr>
                <w:sz w:val="16"/>
                <w:szCs w:val="16"/>
              </w:rPr>
            </w:pPr>
            <w:r>
              <w:rPr>
                <w:sz w:val="16"/>
                <w:szCs w:val="16"/>
              </w:rPr>
              <w:t>PG</w:t>
            </w:r>
          </w:p>
        </w:tc>
      </w:tr>
      <w:tr w:rsidR="00842335" w:rsidTr="00842335">
        <w:tc>
          <w:tcPr>
            <w:tcW w:w="4248" w:type="dxa"/>
            <w:shd w:val="clear" w:color="auto" w:fill="E0E0E0"/>
          </w:tcPr>
          <w:p w:rsidR="00842335" w:rsidRPr="0072095D" w:rsidRDefault="0072095D" w:rsidP="0072095D">
            <w:pPr>
              <w:spacing w:before="60" w:after="60"/>
              <w:rPr>
                <w:sz w:val="16"/>
                <w:szCs w:val="16"/>
              </w:rPr>
            </w:pPr>
            <w:r w:rsidRPr="0072095D">
              <w:rPr>
                <w:sz w:val="16"/>
                <w:szCs w:val="16"/>
              </w:rPr>
              <w:t>Data entered online (</w:t>
            </w:r>
            <w:r>
              <w:rPr>
                <w:sz w:val="16"/>
                <w:szCs w:val="16"/>
              </w:rPr>
              <w:t>SPS</w:t>
            </w:r>
            <w:r w:rsidRPr="0072095D">
              <w:rPr>
                <w:sz w:val="16"/>
                <w:szCs w:val="16"/>
              </w:rPr>
              <w:t>)</w:t>
            </w:r>
          </w:p>
        </w:tc>
        <w:tc>
          <w:tcPr>
            <w:tcW w:w="1440" w:type="dxa"/>
            <w:shd w:val="clear" w:color="auto" w:fill="auto"/>
          </w:tcPr>
          <w:p w:rsidR="00842335" w:rsidRPr="0072095D" w:rsidRDefault="00A06F59" w:rsidP="00842335">
            <w:pPr>
              <w:spacing w:before="60" w:after="60"/>
              <w:rPr>
                <w:sz w:val="16"/>
                <w:szCs w:val="16"/>
              </w:rPr>
            </w:pPr>
            <w:r>
              <w:rPr>
                <w:sz w:val="16"/>
                <w:szCs w:val="16"/>
              </w:rPr>
              <w:t>16/01/2017</w:t>
            </w:r>
          </w:p>
        </w:tc>
        <w:tc>
          <w:tcPr>
            <w:tcW w:w="2160" w:type="dxa"/>
            <w:shd w:val="clear" w:color="auto" w:fill="E0E0E0"/>
          </w:tcPr>
          <w:p w:rsidR="00842335" w:rsidRPr="0072095D" w:rsidRDefault="0072095D" w:rsidP="00842335">
            <w:pPr>
              <w:spacing w:before="60" w:after="60"/>
              <w:rPr>
                <w:sz w:val="16"/>
                <w:szCs w:val="16"/>
              </w:rPr>
            </w:pPr>
            <w:r>
              <w:rPr>
                <w:sz w:val="16"/>
                <w:szCs w:val="16"/>
              </w:rPr>
              <w:t>Input by</w:t>
            </w:r>
          </w:p>
        </w:tc>
        <w:tc>
          <w:tcPr>
            <w:tcW w:w="1260" w:type="dxa"/>
            <w:shd w:val="clear" w:color="auto" w:fill="auto"/>
          </w:tcPr>
          <w:p w:rsidR="00842335" w:rsidRPr="0072095D" w:rsidRDefault="00A06F59" w:rsidP="00842335">
            <w:pPr>
              <w:spacing w:before="60" w:after="60"/>
              <w:rPr>
                <w:sz w:val="16"/>
                <w:szCs w:val="16"/>
              </w:rPr>
            </w:pPr>
            <w:r>
              <w:rPr>
                <w:sz w:val="16"/>
                <w:szCs w:val="16"/>
              </w:rPr>
              <w:t>PG</w:t>
            </w:r>
          </w:p>
        </w:tc>
      </w:tr>
      <w:tr w:rsidR="00842335" w:rsidTr="00842335">
        <w:tc>
          <w:tcPr>
            <w:tcW w:w="4248" w:type="dxa"/>
            <w:shd w:val="clear" w:color="auto" w:fill="E0E0E0"/>
          </w:tcPr>
          <w:p w:rsidR="00842335" w:rsidRPr="0072095D" w:rsidRDefault="00776059" w:rsidP="00776059">
            <w:pPr>
              <w:spacing w:before="60" w:after="60"/>
              <w:rPr>
                <w:sz w:val="16"/>
                <w:szCs w:val="16"/>
              </w:rPr>
            </w:pPr>
            <w:r>
              <w:rPr>
                <w:sz w:val="16"/>
                <w:szCs w:val="16"/>
              </w:rPr>
              <w:t>Word files added to online archive</w:t>
            </w:r>
          </w:p>
        </w:tc>
        <w:tc>
          <w:tcPr>
            <w:tcW w:w="1440" w:type="dxa"/>
            <w:shd w:val="clear" w:color="auto" w:fill="auto"/>
          </w:tcPr>
          <w:p w:rsidR="00842335" w:rsidRPr="0072095D" w:rsidRDefault="00842335" w:rsidP="00842335">
            <w:pPr>
              <w:spacing w:before="60" w:after="60"/>
              <w:rPr>
                <w:sz w:val="16"/>
                <w:szCs w:val="16"/>
              </w:rPr>
            </w:pPr>
          </w:p>
        </w:tc>
        <w:tc>
          <w:tcPr>
            <w:tcW w:w="2160" w:type="dxa"/>
            <w:shd w:val="clear" w:color="auto" w:fill="E0E0E0"/>
          </w:tcPr>
          <w:p w:rsidR="00842335" w:rsidRPr="0072095D" w:rsidRDefault="00776059" w:rsidP="00842335">
            <w:pPr>
              <w:spacing w:before="60" w:after="60"/>
              <w:rPr>
                <w:sz w:val="16"/>
                <w:szCs w:val="16"/>
              </w:rPr>
            </w:pPr>
            <w:r>
              <w:rPr>
                <w:sz w:val="16"/>
                <w:szCs w:val="16"/>
              </w:rPr>
              <w:t>Input by</w:t>
            </w:r>
          </w:p>
        </w:tc>
        <w:tc>
          <w:tcPr>
            <w:tcW w:w="1260" w:type="dxa"/>
            <w:shd w:val="clear" w:color="auto" w:fill="auto"/>
          </w:tcPr>
          <w:p w:rsidR="00842335" w:rsidRPr="0072095D" w:rsidRDefault="00842335" w:rsidP="00842335">
            <w:pPr>
              <w:spacing w:before="60" w:after="60"/>
              <w:rPr>
                <w:sz w:val="16"/>
                <w:szCs w:val="16"/>
              </w:rPr>
            </w:pPr>
          </w:p>
        </w:tc>
      </w:tr>
    </w:tbl>
    <w:p w:rsidR="00706C0B" w:rsidRDefault="00706C0B" w:rsidP="0072095D">
      <w:pPr>
        <w:spacing w:before="240" w:after="60"/>
        <w:rPr>
          <w:b/>
          <w:sz w:val="26"/>
          <w:szCs w:val="16"/>
        </w:rPr>
      </w:pPr>
      <w:r w:rsidRPr="00487686">
        <w:rPr>
          <w:b/>
          <w:sz w:val="26"/>
          <w:szCs w:val="16"/>
        </w:rPr>
        <w:t>Changes</w:t>
      </w:r>
      <w:bookmarkStart w:id="0" w:name="_GoBack"/>
      <w:bookmarkEnd w:id="0"/>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
        <w:gridCol w:w="1352"/>
        <w:gridCol w:w="5760"/>
        <w:gridCol w:w="720"/>
        <w:gridCol w:w="1080"/>
      </w:tblGrid>
      <w:tr w:rsidR="00706C0B" w:rsidRPr="00E97CE7" w:rsidTr="00706C0B">
        <w:trPr>
          <w:tblHeader/>
        </w:trPr>
        <w:tc>
          <w:tcPr>
            <w:tcW w:w="916" w:type="dxa"/>
            <w:shd w:val="clear" w:color="auto" w:fill="E6E6E6"/>
          </w:tcPr>
          <w:p w:rsidR="00706C0B" w:rsidRPr="00E97CE7" w:rsidRDefault="00706C0B" w:rsidP="00706C0B">
            <w:pPr>
              <w:spacing w:before="60" w:after="60"/>
              <w:jc w:val="center"/>
              <w:rPr>
                <w:b/>
                <w:sz w:val="16"/>
                <w:szCs w:val="16"/>
              </w:rPr>
            </w:pPr>
            <w:r w:rsidRPr="00E97CE7">
              <w:rPr>
                <w:b/>
                <w:sz w:val="16"/>
                <w:szCs w:val="16"/>
              </w:rPr>
              <w:t>Version</w:t>
            </w:r>
          </w:p>
        </w:tc>
        <w:tc>
          <w:tcPr>
            <w:tcW w:w="1352" w:type="dxa"/>
            <w:shd w:val="clear" w:color="auto" w:fill="E6E6E6"/>
          </w:tcPr>
          <w:p w:rsidR="00706C0B" w:rsidRPr="00E97CE7" w:rsidRDefault="00706C0B" w:rsidP="00706C0B">
            <w:pPr>
              <w:spacing w:before="60" w:after="60"/>
              <w:jc w:val="center"/>
              <w:rPr>
                <w:b/>
                <w:sz w:val="16"/>
                <w:szCs w:val="16"/>
              </w:rPr>
            </w:pPr>
            <w:r w:rsidRPr="00E97CE7">
              <w:rPr>
                <w:b/>
                <w:sz w:val="16"/>
                <w:szCs w:val="16"/>
              </w:rPr>
              <w:t>Drug</w:t>
            </w:r>
          </w:p>
        </w:tc>
        <w:tc>
          <w:tcPr>
            <w:tcW w:w="5760" w:type="dxa"/>
            <w:shd w:val="clear" w:color="auto" w:fill="E6E6E6"/>
          </w:tcPr>
          <w:p w:rsidR="00706C0B" w:rsidRPr="00E97CE7" w:rsidRDefault="00706C0B" w:rsidP="00706C0B">
            <w:pPr>
              <w:spacing w:before="60" w:after="60"/>
              <w:jc w:val="center"/>
              <w:rPr>
                <w:b/>
                <w:sz w:val="16"/>
                <w:szCs w:val="16"/>
              </w:rPr>
            </w:pPr>
            <w:r w:rsidRPr="00E97CE7">
              <w:rPr>
                <w:b/>
                <w:sz w:val="16"/>
                <w:szCs w:val="16"/>
              </w:rPr>
              <w:t>Change</w:t>
            </w:r>
          </w:p>
        </w:tc>
        <w:tc>
          <w:tcPr>
            <w:tcW w:w="720" w:type="dxa"/>
            <w:shd w:val="clear" w:color="auto" w:fill="E6E6E6"/>
          </w:tcPr>
          <w:p w:rsidR="00706C0B" w:rsidRPr="00E97CE7" w:rsidRDefault="00706C0B" w:rsidP="00706C0B">
            <w:pPr>
              <w:spacing w:before="60" w:after="60"/>
              <w:jc w:val="center"/>
              <w:rPr>
                <w:rFonts w:ascii="Arial Bold" w:hAnsi="Arial Bold"/>
                <w:b/>
                <w:sz w:val="14"/>
                <w:szCs w:val="16"/>
              </w:rPr>
            </w:pPr>
            <w:proofErr w:type="spellStart"/>
            <w:r w:rsidRPr="00E97CE7">
              <w:rPr>
                <w:rFonts w:ascii="Arial Bold" w:hAnsi="Arial Bold"/>
                <w:b/>
                <w:sz w:val="14"/>
                <w:szCs w:val="16"/>
              </w:rPr>
              <w:t>Chk</w:t>
            </w:r>
            <w:proofErr w:type="spellEnd"/>
            <w:r w:rsidRPr="00E97CE7">
              <w:rPr>
                <w:rFonts w:ascii="Arial Bold" w:hAnsi="Arial Bold"/>
                <w:b/>
                <w:sz w:val="14"/>
                <w:szCs w:val="16"/>
              </w:rPr>
              <w:t xml:space="preserve"> </w:t>
            </w:r>
            <w:proofErr w:type="spellStart"/>
            <w:r w:rsidRPr="00E97CE7">
              <w:rPr>
                <w:rFonts w:ascii="Arial Bold" w:hAnsi="Arial Bold"/>
                <w:b/>
                <w:sz w:val="14"/>
                <w:szCs w:val="16"/>
              </w:rPr>
              <w:t>reqd</w:t>
            </w:r>
            <w:proofErr w:type="spellEnd"/>
            <w:r w:rsidRPr="00E97CE7">
              <w:rPr>
                <w:rFonts w:ascii="Arial Bold" w:hAnsi="Arial Bold"/>
                <w:b/>
                <w:sz w:val="14"/>
                <w:szCs w:val="16"/>
              </w:rPr>
              <w:t>/</w:t>
            </w:r>
            <w:r w:rsidRPr="00E97CE7">
              <w:rPr>
                <w:rFonts w:ascii="Arial Bold" w:hAnsi="Arial Bold"/>
                <w:b/>
                <w:sz w:val="14"/>
                <w:szCs w:val="16"/>
              </w:rPr>
              <w:br/>
              <w:t>done</w:t>
            </w:r>
          </w:p>
          <w:p w:rsidR="00706C0B" w:rsidRPr="00E97CE7" w:rsidRDefault="00706C0B" w:rsidP="00706C0B">
            <w:pPr>
              <w:spacing w:before="60" w:after="60"/>
              <w:jc w:val="center"/>
              <w:rPr>
                <w:rFonts w:ascii="Arial Bold" w:hAnsi="Arial Bold"/>
                <w:b/>
                <w:sz w:val="14"/>
                <w:szCs w:val="16"/>
              </w:rPr>
            </w:pPr>
            <w:r w:rsidRPr="00E97CE7">
              <w:rPr>
                <w:rFonts w:ascii="Arial Bold" w:hAnsi="Arial Bold"/>
                <w:b/>
                <w:sz w:val="14"/>
                <w:szCs w:val="16"/>
              </w:rPr>
              <w:t>YN/YN</w:t>
            </w:r>
          </w:p>
        </w:tc>
        <w:tc>
          <w:tcPr>
            <w:tcW w:w="1080" w:type="dxa"/>
            <w:shd w:val="clear" w:color="auto" w:fill="E6E6E6"/>
          </w:tcPr>
          <w:p w:rsidR="00706C0B" w:rsidRPr="00E97CE7" w:rsidRDefault="00706C0B" w:rsidP="00706C0B">
            <w:pPr>
              <w:spacing w:before="60" w:after="60"/>
              <w:jc w:val="center"/>
              <w:rPr>
                <w:rFonts w:ascii="Arial Bold" w:hAnsi="Arial Bold"/>
                <w:b/>
                <w:sz w:val="14"/>
                <w:szCs w:val="16"/>
              </w:rPr>
            </w:pPr>
            <w:r w:rsidRPr="00E97CE7">
              <w:rPr>
                <w:rFonts w:ascii="Arial Bold" w:hAnsi="Arial Bold"/>
                <w:b/>
                <w:sz w:val="14"/>
                <w:szCs w:val="16"/>
              </w:rPr>
              <w:t>Date/</w:t>
            </w:r>
            <w:r w:rsidRPr="00E97CE7">
              <w:rPr>
                <w:rFonts w:ascii="Arial Bold" w:hAnsi="Arial Bold"/>
                <w:b/>
                <w:sz w:val="14"/>
                <w:szCs w:val="16"/>
              </w:rPr>
              <w:br/>
              <w:t>initials</w:t>
            </w:r>
          </w:p>
        </w:tc>
      </w:tr>
      <w:tr w:rsidR="00706C0B" w:rsidRPr="00E97CE7" w:rsidTr="00706C0B">
        <w:tc>
          <w:tcPr>
            <w:tcW w:w="916" w:type="dxa"/>
            <w:shd w:val="clear" w:color="auto" w:fill="auto"/>
          </w:tcPr>
          <w:p w:rsidR="00706C0B" w:rsidRPr="00706C0B" w:rsidRDefault="00706C0B" w:rsidP="00706C0B">
            <w:pPr>
              <w:spacing w:before="60" w:after="60"/>
              <w:rPr>
                <w:b/>
                <w:sz w:val="16"/>
                <w:szCs w:val="16"/>
              </w:rPr>
            </w:pPr>
          </w:p>
        </w:tc>
        <w:tc>
          <w:tcPr>
            <w:tcW w:w="1352" w:type="dxa"/>
            <w:shd w:val="clear" w:color="auto" w:fill="auto"/>
          </w:tcPr>
          <w:p w:rsidR="00706C0B" w:rsidRPr="00706C0B" w:rsidRDefault="00706C0B" w:rsidP="00706C0B">
            <w:pPr>
              <w:spacing w:before="60" w:after="60"/>
              <w:rPr>
                <w:b/>
                <w:sz w:val="16"/>
                <w:szCs w:val="16"/>
              </w:rPr>
            </w:pPr>
          </w:p>
        </w:tc>
        <w:tc>
          <w:tcPr>
            <w:tcW w:w="5760" w:type="dxa"/>
            <w:shd w:val="clear" w:color="auto" w:fill="auto"/>
          </w:tcPr>
          <w:p w:rsidR="00706C0B" w:rsidRPr="00706C0B" w:rsidRDefault="00706C0B" w:rsidP="00706C0B">
            <w:pPr>
              <w:spacing w:before="60" w:after="60"/>
              <w:rPr>
                <w:sz w:val="16"/>
                <w:szCs w:val="16"/>
              </w:rPr>
            </w:pPr>
          </w:p>
        </w:tc>
        <w:tc>
          <w:tcPr>
            <w:tcW w:w="720" w:type="dxa"/>
            <w:shd w:val="clear" w:color="auto" w:fill="auto"/>
          </w:tcPr>
          <w:p w:rsidR="00706C0B" w:rsidRPr="00706C0B" w:rsidRDefault="00706C0B" w:rsidP="00706C0B">
            <w:pPr>
              <w:spacing w:before="60" w:after="60"/>
              <w:jc w:val="center"/>
              <w:rPr>
                <w:sz w:val="16"/>
                <w:szCs w:val="16"/>
              </w:rPr>
            </w:pPr>
          </w:p>
        </w:tc>
        <w:tc>
          <w:tcPr>
            <w:tcW w:w="1080" w:type="dxa"/>
            <w:shd w:val="clear" w:color="auto" w:fill="auto"/>
          </w:tcPr>
          <w:p w:rsidR="00706C0B" w:rsidRPr="00706C0B" w:rsidRDefault="00706C0B" w:rsidP="00706C0B">
            <w:pPr>
              <w:spacing w:before="60" w:after="60"/>
              <w:jc w:val="center"/>
              <w:rPr>
                <w:sz w:val="16"/>
                <w:szCs w:val="16"/>
              </w:rPr>
            </w:pPr>
          </w:p>
        </w:tc>
      </w:tr>
      <w:tr w:rsidR="00706C0B" w:rsidRPr="00E97CE7" w:rsidTr="00706C0B">
        <w:tc>
          <w:tcPr>
            <w:tcW w:w="916" w:type="dxa"/>
            <w:shd w:val="clear" w:color="auto" w:fill="auto"/>
          </w:tcPr>
          <w:p w:rsidR="00706C0B" w:rsidRPr="00E97CE7" w:rsidRDefault="00706C0B" w:rsidP="00706C0B">
            <w:pPr>
              <w:spacing w:before="60" w:after="60"/>
              <w:rPr>
                <w:b/>
                <w:sz w:val="16"/>
                <w:szCs w:val="16"/>
              </w:rPr>
            </w:pPr>
          </w:p>
        </w:tc>
        <w:tc>
          <w:tcPr>
            <w:tcW w:w="1352" w:type="dxa"/>
            <w:shd w:val="clear" w:color="auto" w:fill="auto"/>
          </w:tcPr>
          <w:p w:rsidR="00706C0B" w:rsidRPr="00E97CE7" w:rsidRDefault="00706C0B" w:rsidP="00706C0B">
            <w:pPr>
              <w:spacing w:before="60" w:after="60"/>
              <w:rPr>
                <w:b/>
                <w:sz w:val="16"/>
                <w:szCs w:val="16"/>
              </w:rPr>
            </w:pPr>
          </w:p>
        </w:tc>
        <w:tc>
          <w:tcPr>
            <w:tcW w:w="5760" w:type="dxa"/>
            <w:shd w:val="clear" w:color="auto" w:fill="auto"/>
          </w:tcPr>
          <w:p w:rsidR="00706C0B" w:rsidRPr="00E97CE7" w:rsidRDefault="00706C0B" w:rsidP="00706C0B">
            <w:pPr>
              <w:spacing w:before="60" w:after="60"/>
              <w:rPr>
                <w:sz w:val="16"/>
                <w:szCs w:val="16"/>
              </w:rPr>
            </w:pPr>
          </w:p>
        </w:tc>
        <w:tc>
          <w:tcPr>
            <w:tcW w:w="720" w:type="dxa"/>
            <w:shd w:val="clear" w:color="auto" w:fill="auto"/>
          </w:tcPr>
          <w:p w:rsidR="00706C0B" w:rsidRPr="00E97CE7" w:rsidRDefault="00706C0B" w:rsidP="00706C0B">
            <w:pPr>
              <w:spacing w:before="60" w:after="60"/>
              <w:jc w:val="center"/>
              <w:rPr>
                <w:sz w:val="16"/>
                <w:szCs w:val="16"/>
              </w:rPr>
            </w:pPr>
          </w:p>
        </w:tc>
        <w:tc>
          <w:tcPr>
            <w:tcW w:w="1080" w:type="dxa"/>
            <w:shd w:val="clear" w:color="auto" w:fill="auto"/>
          </w:tcPr>
          <w:p w:rsidR="00706C0B" w:rsidRPr="00E97CE7" w:rsidRDefault="00706C0B" w:rsidP="00706C0B">
            <w:pPr>
              <w:spacing w:before="60" w:after="60"/>
              <w:jc w:val="center"/>
              <w:rPr>
                <w:sz w:val="16"/>
                <w:szCs w:val="16"/>
              </w:rPr>
            </w:pPr>
          </w:p>
        </w:tc>
      </w:tr>
      <w:tr w:rsidR="00706C0B" w:rsidRPr="00E97CE7" w:rsidTr="00706C0B">
        <w:tc>
          <w:tcPr>
            <w:tcW w:w="916" w:type="dxa"/>
            <w:shd w:val="clear" w:color="auto" w:fill="auto"/>
          </w:tcPr>
          <w:p w:rsidR="00706C0B" w:rsidRPr="00E97CE7" w:rsidRDefault="00706C0B" w:rsidP="00706C0B">
            <w:pPr>
              <w:spacing w:before="60" w:after="60"/>
              <w:rPr>
                <w:b/>
                <w:sz w:val="16"/>
                <w:szCs w:val="16"/>
              </w:rPr>
            </w:pPr>
          </w:p>
        </w:tc>
        <w:tc>
          <w:tcPr>
            <w:tcW w:w="1352" w:type="dxa"/>
            <w:shd w:val="clear" w:color="auto" w:fill="auto"/>
          </w:tcPr>
          <w:p w:rsidR="00706C0B" w:rsidRPr="00E97CE7" w:rsidRDefault="00706C0B" w:rsidP="00706C0B">
            <w:pPr>
              <w:spacing w:before="60" w:after="60"/>
              <w:rPr>
                <w:b/>
                <w:sz w:val="16"/>
                <w:szCs w:val="16"/>
              </w:rPr>
            </w:pPr>
          </w:p>
        </w:tc>
        <w:tc>
          <w:tcPr>
            <w:tcW w:w="5760" w:type="dxa"/>
            <w:shd w:val="clear" w:color="auto" w:fill="auto"/>
          </w:tcPr>
          <w:p w:rsidR="00706C0B" w:rsidRPr="00E97CE7" w:rsidRDefault="00706C0B" w:rsidP="00706C0B">
            <w:pPr>
              <w:spacing w:before="60" w:after="60"/>
              <w:rPr>
                <w:sz w:val="16"/>
                <w:szCs w:val="16"/>
              </w:rPr>
            </w:pPr>
          </w:p>
        </w:tc>
        <w:tc>
          <w:tcPr>
            <w:tcW w:w="720" w:type="dxa"/>
            <w:shd w:val="clear" w:color="auto" w:fill="auto"/>
          </w:tcPr>
          <w:p w:rsidR="00706C0B" w:rsidRPr="00E97CE7" w:rsidRDefault="00706C0B" w:rsidP="00706C0B">
            <w:pPr>
              <w:spacing w:before="60" w:after="60"/>
              <w:jc w:val="center"/>
              <w:rPr>
                <w:sz w:val="16"/>
                <w:szCs w:val="16"/>
              </w:rPr>
            </w:pPr>
          </w:p>
        </w:tc>
        <w:tc>
          <w:tcPr>
            <w:tcW w:w="1080" w:type="dxa"/>
            <w:shd w:val="clear" w:color="auto" w:fill="auto"/>
          </w:tcPr>
          <w:p w:rsidR="00706C0B" w:rsidRPr="00E97CE7" w:rsidRDefault="00706C0B" w:rsidP="00706C0B">
            <w:pPr>
              <w:spacing w:before="60" w:after="60"/>
              <w:jc w:val="center"/>
              <w:rPr>
                <w:sz w:val="16"/>
                <w:szCs w:val="16"/>
              </w:rPr>
            </w:pPr>
          </w:p>
        </w:tc>
      </w:tr>
    </w:tbl>
    <w:p w:rsidR="00706C0B" w:rsidRPr="00042246" w:rsidRDefault="00706C0B" w:rsidP="00706C0B">
      <w:pPr>
        <w:spacing w:before="60" w:after="60"/>
        <w:rPr>
          <w:sz w:val="16"/>
          <w:szCs w:val="16"/>
        </w:rPr>
      </w:pPr>
      <w:proofErr w:type="gramStart"/>
      <w:r w:rsidRPr="00042246">
        <w:rPr>
          <w:sz w:val="16"/>
          <w:szCs w:val="16"/>
        </w:rPr>
        <w:t xml:space="preserve">If major </w:t>
      </w:r>
      <w:proofErr w:type="spellStart"/>
      <w:r w:rsidRPr="00042246">
        <w:rPr>
          <w:sz w:val="16"/>
          <w:szCs w:val="16"/>
        </w:rPr>
        <w:t>revison</w:t>
      </w:r>
      <w:proofErr w:type="spellEnd"/>
      <w:r w:rsidRPr="00042246">
        <w:rPr>
          <w:sz w:val="16"/>
          <w:szCs w:val="16"/>
        </w:rPr>
        <w:t xml:space="preserve"> with checking save as next whole number.</w:t>
      </w:r>
      <w:proofErr w:type="gramEnd"/>
      <w:r w:rsidRPr="00042246">
        <w:rPr>
          <w:sz w:val="16"/>
          <w:szCs w:val="16"/>
        </w:rPr>
        <w:t xml:space="preserve"> If minor changes with no checking save as next decimal point number</w:t>
      </w:r>
    </w:p>
    <w:p w:rsidR="00706C0B" w:rsidRDefault="00706C0B" w:rsidP="00706C0B"/>
    <w:p w:rsidR="00706C0B" w:rsidRPr="00DA63D0" w:rsidRDefault="00A06F59" w:rsidP="00706C0B">
      <w:pPr>
        <w:spacing w:before="60" w:after="60"/>
        <w:rPr>
          <w:b/>
          <w:sz w:val="22"/>
          <w:szCs w:val="22"/>
        </w:rPr>
      </w:pPr>
      <w:hyperlink r:id="rId6" w:history="1">
        <w:r w:rsidR="00706C0B">
          <w:rPr>
            <w:rStyle w:val="Hyperlink"/>
            <w:b/>
            <w:sz w:val="22"/>
            <w:szCs w:val="22"/>
          </w:rPr>
          <w:t>Instructions for use; Revisions; Convention for drug name qualifiers</w:t>
        </w:r>
      </w:hyperlink>
      <w:r w:rsidR="00706C0B">
        <w:rPr>
          <w:b/>
          <w:sz w:val="22"/>
          <w:szCs w:val="22"/>
        </w:rPr>
        <w:t xml:space="preserve"> </w:t>
      </w:r>
    </w:p>
    <w:p w:rsidR="00E15B65" w:rsidRDefault="00A06F59" w:rsidP="00B50689">
      <w:pPr>
        <w:spacing w:before="240" w:after="60"/>
        <w:rPr>
          <w:rStyle w:val="Hyperlink"/>
          <w:b/>
          <w:sz w:val="22"/>
          <w:szCs w:val="22"/>
        </w:rPr>
      </w:pPr>
      <w:hyperlink r:id="rId7" w:history="1">
        <w:r w:rsidR="00706C0B" w:rsidRPr="00DA63D0">
          <w:rPr>
            <w:rStyle w:val="Hyperlink"/>
            <w:b/>
            <w:sz w:val="22"/>
            <w:szCs w:val="22"/>
          </w:rPr>
          <w:t>Standard phrases</w:t>
        </w:r>
      </w:hyperlink>
    </w:p>
    <w:sectPr w:rsidR="00E15B65" w:rsidSect="00F44709">
      <w:pgSz w:w="11906" w:h="16838"/>
      <w:pgMar w:top="1134" w:right="1134" w:bottom="113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2320"/>
    <w:multiLevelType w:val="multilevel"/>
    <w:tmpl w:val="3552E386"/>
    <w:lvl w:ilvl="0">
      <w:numFmt w:val="bullet"/>
      <w:lvlText w:val=""/>
      <w:lvlJc w:val="left"/>
      <w:pPr>
        <w:tabs>
          <w:tab w:val="num" w:pos="720"/>
        </w:tabs>
        <w:ind w:left="720" w:hanging="360"/>
      </w:pPr>
      <w:rPr>
        <w:rFonts w:ascii="Wingdings" w:hAnsi="Wingdings" w:cs="Arial" w:hint="default"/>
        <w:b/>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B8E5ACB"/>
    <w:multiLevelType w:val="hybridMultilevel"/>
    <w:tmpl w:val="B2E6AE5C"/>
    <w:lvl w:ilvl="0" w:tplc="8E223AC0">
      <w:start w:val="1"/>
      <w:numFmt w:val="bullet"/>
      <w:lvlText w:val=""/>
      <w:lvlJc w:val="left"/>
      <w:pPr>
        <w:tabs>
          <w:tab w:val="num" w:pos="720"/>
        </w:tabs>
        <w:ind w:left="720" w:hanging="360"/>
      </w:pPr>
      <w:rPr>
        <w:rFonts w:ascii="Symbol" w:hAnsi="Symbol" w:hint="default"/>
        <w:b/>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5C712103"/>
    <w:multiLevelType w:val="hybridMultilevel"/>
    <w:tmpl w:val="5F7690DC"/>
    <w:lvl w:ilvl="0" w:tplc="67E6396A">
      <w:start w:val="1"/>
      <w:numFmt w:val="bullet"/>
      <w:lvlText w:val=""/>
      <w:lvlJc w:val="left"/>
      <w:pPr>
        <w:tabs>
          <w:tab w:val="num" w:pos="720"/>
        </w:tabs>
        <w:ind w:left="720" w:hanging="360"/>
      </w:pPr>
      <w:rPr>
        <w:rFonts w:ascii="Symbol" w:hAnsi="Symbol" w:hint="default"/>
        <w:b/>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9E93494"/>
    <w:multiLevelType w:val="hybridMultilevel"/>
    <w:tmpl w:val="8E02832C"/>
    <w:lvl w:ilvl="0" w:tplc="8E223AC0">
      <w:start w:val="1"/>
      <w:numFmt w:val="bullet"/>
      <w:lvlText w:val=""/>
      <w:lvlJc w:val="left"/>
      <w:pPr>
        <w:tabs>
          <w:tab w:val="num" w:pos="720"/>
        </w:tabs>
        <w:ind w:left="72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7DC71FD0"/>
    <w:multiLevelType w:val="hybridMultilevel"/>
    <w:tmpl w:val="3552E386"/>
    <w:lvl w:ilvl="0" w:tplc="B4164E88">
      <w:numFmt w:val="bullet"/>
      <w:lvlText w:val=""/>
      <w:lvlJc w:val="left"/>
      <w:pPr>
        <w:tabs>
          <w:tab w:val="num" w:pos="720"/>
        </w:tabs>
        <w:ind w:left="720" w:hanging="360"/>
      </w:pPr>
      <w:rPr>
        <w:rFonts w:ascii="Wingdings" w:hAnsi="Wingdings" w:cs="Arial" w:hint="default"/>
        <w:b/>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1BB"/>
    <w:rsid w:val="00000973"/>
    <w:rsid w:val="00000D16"/>
    <w:rsid w:val="00001072"/>
    <w:rsid w:val="00001778"/>
    <w:rsid w:val="00002042"/>
    <w:rsid w:val="000029CD"/>
    <w:rsid w:val="00002FAA"/>
    <w:rsid w:val="000030A1"/>
    <w:rsid w:val="00005CC4"/>
    <w:rsid w:val="000073D6"/>
    <w:rsid w:val="000076A3"/>
    <w:rsid w:val="00007BE7"/>
    <w:rsid w:val="0001049D"/>
    <w:rsid w:val="00010BEC"/>
    <w:rsid w:val="000117B7"/>
    <w:rsid w:val="00011814"/>
    <w:rsid w:val="00014511"/>
    <w:rsid w:val="00015482"/>
    <w:rsid w:val="000154C7"/>
    <w:rsid w:val="0001680D"/>
    <w:rsid w:val="00017835"/>
    <w:rsid w:val="00017C2B"/>
    <w:rsid w:val="000223D9"/>
    <w:rsid w:val="00022981"/>
    <w:rsid w:val="000232E9"/>
    <w:rsid w:val="00026E27"/>
    <w:rsid w:val="000271DF"/>
    <w:rsid w:val="00027DC6"/>
    <w:rsid w:val="00030475"/>
    <w:rsid w:val="00031F90"/>
    <w:rsid w:val="0003490F"/>
    <w:rsid w:val="000357E2"/>
    <w:rsid w:val="00037943"/>
    <w:rsid w:val="00041A06"/>
    <w:rsid w:val="00041A48"/>
    <w:rsid w:val="0004419D"/>
    <w:rsid w:val="000444FB"/>
    <w:rsid w:val="00044C42"/>
    <w:rsid w:val="000513DA"/>
    <w:rsid w:val="00051B65"/>
    <w:rsid w:val="00053982"/>
    <w:rsid w:val="00053DCA"/>
    <w:rsid w:val="00054213"/>
    <w:rsid w:val="0005600C"/>
    <w:rsid w:val="00056F69"/>
    <w:rsid w:val="000574DF"/>
    <w:rsid w:val="00062326"/>
    <w:rsid w:val="0006674E"/>
    <w:rsid w:val="0006755F"/>
    <w:rsid w:val="00070A66"/>
    <w:rsid w:val="00071BB4"/>
    <w:rsid w:val="0007425B"/>
    <w:rsid w:val="00074F22"/>
    <w:rsid w:val="00075F96"/>
    <w:rsid w:val="00080121"/>
    <w:rsid w:val="0008077F"/>
    <w:rsid w:val="00081BBC"/>
    <w:rsid w:val="00081DCF"/>
    <w:rsid w:val="00081FA3"/>
    <w:rsid w:val="00083B90"/>
    <w:rsid w:val="000861A3"/>
    <w:rsid w:val="0008759B"/>
    <w:rsid w:val="00090A2F"/>
    <w:rsid w:val="00092710"/>
    <w:rsid w:val="00093905"/>
    <w:rsid w:val="00095787"/>
    <w:rsid w:val="00096559"/>
    <w:rsid w:val="00096894"/>
    <w:rsid w:val="00097996"/>
    <w:rsid w:val="000A0FB2"/>
    <w:rsid w:val="000A22C8"/>
    <w:rsid w:val="000A48D6"/>
    <w:rsid w:val="000A59DA"/>
    <w:rsid w:val="000B0241"/>
    <w:rsid w:val="000B026C"/>
    <w:rsid w:val="000B312A"/>
    <w:rsid w:val="000B3787"/>
    <w:rsid w:val="000B4D68"/>
    <w:rsid w:val="000B501E"/>
    <w:rsid w:val="000B61FF"/>
    <w:rsid w:val="000B6517"/>
    <w:rsid w:val="000B74D2"/>
    <w:rsid w:val="000B7FD5"/>
    <w:rsid w:val="000C14E7"/>
    <w:rsid w:val="000C2E8A"/>
    <w:rsid w:val="000C3FDE"/>
    <w:rsid w:val="000C578B"/>
    <w:rsid w:val="000C6F61"/>
    <w:rsid w:val="000D02D5"/>
    <w:rsid w:val="000D14DB"/>
    <w:rsid w:val="000D1DB8"/>
    <w:rsid w:val="000D5D0F"/>
    <w:rsid w:val="000D6D4F"/>
    <w:rsid w:val="000D73BB"/>
    <w:rsid w:val="000E0633"/>
    <w:rsid w:val="000E1056"/>
    <w:rsid w:val="000E1CC8"/>
    <w:rsid w:val="000E4310"/>
    <w:rsid w:val="000E492A"/>
    <w:rsid w:val="000E5CF1"/>
    <w:rsid w:val="000E62DB"/>
    <w:rsid w:val="000E7734"/>
    <w:rsid w:val="000F050C"/>
    <w:rsid w:val="000F22BE"/>
    <w:rsid w:val="000F2880"/>
    <w:rsid w:val="000F33A1"/>
    <w:rsid w:val="000F7444"/>
    <w:rsid w:val="00100B8C"/>
    <w:rsid w:val="001020F1"/>
    <w:rsid w:val="001021C3"/>
    <w:rsid w:val="00106182"/>
    <w:rsid w:val="00106765"/>
    <w:rsid w:val="00106DB6"/>
    <w:rsid w:val="00107508"/>
    <w:rsid w:val="001076BF"/>
    <w:rsid w:val="00107755"/>
    <w:rsid w:val="00110920"/>
    <w:rsid w:val="001143DD"/>
    <w:rsid w:val="00114D8D"/>
    <w:rsid w:val="00116620"/>
    <w:rsid w:val="00117A55"/>
    <w:rsid w:val="00117DAC"/>
    <w:rsid w:val="00121191"/>
    <w:rsid w:val="00123EAA"/>
    <w:rsid w:val="0012421C"/>
    <w:rsid w:val="001268E6"/>
    <w:rsid w:val="00131A5F"/>
    <w:rsid w:val="00132215"/>
    <w:rsid w:val="00132935"/>
    <w:rsid w:val="001332B1"/>
    <w:rsid w:val="00133881"/>
    <w:rsid w:val="00133F45"/>
    <w:rsid w:val="00133F72"/>
    <w:rsid w:val="00136554"/>
    <w:rsid w:val="0013759A"/>
    <w:rsid w:val="00142229"/>
    <w:rsid w:val="0014291E"/>
    <w:rsid w:val="00142D40"/>
    <w:rsid w:val="00143E59"/>
    <w:rsid w:val="00147907"/>
    <w:rsid w:val="00150612"/>
    <w:rsid w:val="00151FF5"/>
    <w:rsid w:val="00153411"/>
    <w:rsid w:val="001550C6"/>
    <w:rsid w:val="001558EF"/>
    <w:rsid w:val="001610D9"/>
    <w:rsid w:val="00162025"/>
    <w:rsid w:val="001624DD"/>
    <w:rsid w:val="0016381B"/>
    <w:rsid w:val="00165AD5"/>
    <w:rsid w:val="001663AD"/>
    <w:rsid w:val="0017417D"/>
    <w:rsid w:val="00174399"/>
    <w:rsid w:val="00175D17"/>
    <w:rsid w:val="001762AA"/>
    <w:rsid w:val="001768FD"/>
    <w:rsid w:val="00177FEF"/>
    <w:rsid w:val="0018159C"/>
    <w:rsid w:val="00181E15"/>
    <w:rsid w:val="001833DB"/>
    <w:rsid w:val="00184004"/>
    <w:rsid w:val="001840DF"/>
    <w:rsid w:val="00184890"/>
    <w:rsid w:val="00184A54"/>
    <w:rsid w:val="00184AA0"/>
    <w:rsid w:val="00186B8E"/>
    <w:rsid w:val="00186F73"/>
    <w:rsid w:val="00187F9C"/>
    <w:rsid w:val="00192240"/>
    <w:rsid w:val="00192513"/>
    <w:rsid w:val="00193966"/>
    <w:rsid w:val="001943EA"/>
    <w:rsid w:val="00196104"/>
    <w:rsid w:val="00196B4A"/>
    <w:rsid w:val="00197A40"/>
    <w:rsid w:val="00197E28"/>
    <w:rsid w:val="001A0F29"/>
    <w:rsid w:val="001A1944"/>
    <w:rsid w:val="001A222F"/>
    <w:rsid w:val="001A247C"/>
    <w:rsid w:val="001A38F6"/>
    <w:rsid w:val="001A73DF"/>
    <w:rsid w:val="001B0153"/>
    <w:rsid w:val="001B1EC4"/>
    <w:rsid w:val="001B21D7"/>
    <w:rsid w:val="001B42F4"/>
    <w:rsid w:val="001B5CFD"/>
    <w:rsid w:val="001B7C6A"/>
    <w:rsid w:val="001C00CB"/>
    <w:rsid w:val="001C05D2"/>
    <w:rsid w:val="001C1BD6"/>
    <w:rsid w:val="001C4D86"/>
    <w:rsid w:val="001C4F8B"/>
    <w:rsid w:val="001C70BF"/>
    <w:rsid w:val="001C7C4F"/>
    <w:rsid w:val="001D05E0"/>
    <w:rsid w:val="001D452E"/>
    <w:rsid w:val="001D4D9D"/>
    <w:rsid w:val="001D4FCB"/>
    <w:rsid w:val="001D5A03"/>
    <w:rsid w:val="001D6A71"/>
    <w:rsid w:val="001D6D1C"/>
    <w:rsid w:val="001D75A8"/>
    <w:rsid w:val="001E0202"/>
    <w:rsid w:val="001E08A1"/>
    <w:rsid w:val="001E2614"/>
    <w:rsid w:val="001E4319"/>
    <w:rsid w:val="001E4963"/>
    <w:rsid w:val="001E53F8"/>
    <w:rsid w:val="001E6004"/>
    <w:rsid w:val="001F0D29"/>
    <w:rsid w:val="001F137F"/>
    <w:rsid w:val="001F33FE"/>
    <w:rsid w:val="001F7186"/>
    <w:rsid w:val="00200686"/>
    <w:rsid w:val="00202A0E"/>
    <w:rsid w:val="002030AF"/>
    <w:rsid w:val="00207262"/>
    <w:rsid w:val="002076D9"/>
    <w:rsid w:val="00211F16"/>
    <w:rsid w:val="0021414D"/>
    <w:rsid w:val="0021438E"/>
    <w:rsid w:val="00214C32"/>
    <w:rsid w:val="00215C38"/>
    <w:rsid w:val="00215F77"/>
    <w:rsid w:val="00216055"/>
    <w:rsid w:val="00217E14"/>
    <w:rsid w:val="00221971"/>
    <w:rsid w:val="00221AF2"/>
    <w:rsid w:val="00222F22"/>
    <w:rsid w:val="002240C7"/>
    <w:rsid w:val="002251D4"/>
    <w:rsid w:val="00225BB4"/>
    <w:rsid w:val="00230980"/>
    <w:rsid w:val="00232B83"/>
    <w:rsid w:val="00234F4D"/>
    <w:rsid w:val="00235373"/>
    <w:rsid w:val="00235951"/>
    <w:rsid w:val="00236BFC"/>
    <w:rsid w:val="002377F3"/>
    <w:rsid w:val="00240C68"/>
    <w:rsid w:val="002425CD"/>
    <w:rsid w:val="002468E4"/>
    <w:rsid w:val="00246B1A"/>
    <w:rsid w:val="00250570"/>
    <w:rsid w:val="002521AB"/>
    <w:rsid w:val="0025603B"/>
    <w:rsid w:val="002621E0"/>
    <w:rsid w:val="00264E61"/>
    <w:rsid w:val="00265D66"/>
    <w:rsid w:val="002662F8"/>
    <w:rsid w:val="00271C85"/>
    <w:rsid w:val="00271EEC"/>
    <w:rsid w:val="00274472"/>
    <w:rsid w:val="00274C67"/>
    <w:rsid w:val="002808A3"/>
    <w:rsid w:val="00282754"/>
    <w:rsid w:val="00282F0D"/>
    <w:rsid w:val="00283EA7"/>
    <w:rsid w:val="002847A4"/>
    <w:rsid w:val="0028677D"/>
    <w:rsid w:val="0028783C"/>
    <w:rsid w:val="00287896"/>
    <w:rsid w:val="00287B6C"/>
    <w:rsid w:val="00287E2C"/>
    <w:rsid w:val="00287FD3"/>
    <w:rsid w:val="002920C0"/>
    <w:rsid w:val="0029377B"/>
    <w:rsid w:val="0029481E"/>
    <w:rsid w:val="002948B2"/>
    <w:rsid w:val="0029701D"/>
    <w:rsid w:val="002A0BF4"/>
    <w:rsid w:val="002B0031"/>
    <w:rsid w:val="002B1947"/>
    <w:rsid w:val="002B1AD1"/>
    <w:rsid w:val="002B1ECA"/>
    <w:rsid w:val="002B456D"/>
    <w:rsid w:val="002C0C58"/>
    <w:rsid w:val="002C0EA9"/>
    <w:rsid w:val="002C2727"/>
    <w:rsid w:val="002C2FEB"/>
    <w:rsid w:val="002C3329"/>
    <w:rsid w:val="002C43A1"/>
    <w:rsid w:val="002C4697"/>
    <w:rsid w:val="002C4BED"/>
    <w:rsid w:val="002C594C"/>
    <w:rsid w:val="002C6154"/>
    <w:rsid w:val="002C69AE"/>
    <w:rsid w:val="002C73C1"/>
    <w:rsid w:val="002C7859"/>
    <w:rsid w:val="002D030F"/>
    <w:rsid w:val="002D065D"/>
    <w:rsid w:val="002D1756"/>
    <w:rsid w:val="002D3A69"/>
    <w:rsid w:val="002D3CCE"/>
    <w:rsid w:val="002D469E"/>
    <w:rsid w:val="002D6623"/>
    <w:rsid w:val="002D6878"/>
    <w:rsid w:val="002E2FB2"/>
    <w:rsid w:val="002E3877"/>
    <w:rsid w:val="002E4912"/>
    <w:rsid w:val="002E5C62"/>
    <w:rsid w:val="002E6977"/>
    <w:rsid w:val="002E792E"/>
    <w:rsid w:val="002F02D6"/>
    <w:rsid w:val="002F04D4"/>
    <w:rsid w:val="002F20B6"/>
    <w:rsid w:val="002F22AD"/>
    <w:rsid w:val="002F7F68"/>
    <w:rsid w:val="003014B3"/>
    <w:rsid w:val="00301A97"/>
    <w:rsid w:val="003020D9"/>
    <w:rsid w:val="00303479"/>
    <w:rsid w:val="003037A3"/>
    <w:rsid w:val="00306751"/>
    <w:rsid w:val="00313CFA"/>
    <w:rsid w:val="00314538"/>
    <w:rsid w:val="00320CEE"/>
    <w:rsid w:val="003210B9"/>
    <w:rsid w:val="003213B6"/>
    <w:rsid w:val="003222D4"/>
    <w:rsid w:val="0032478C"/>
    <w:rsid w:val="00324937"/>
    <w:rsid w:val="00325334"/>
    <w:rsid w:val="00326B9E"/>
    <w:rsid w:val="00326CA3"/>
    <w:rsid w:val="003270B0"/>
    <w:rsid w:val="0033106D"/>
    <w:rsid w:val="00331C1D"/>
    <w:rsid w:val="0033255A"/>
    <w:rsid w:val="00333A8B"/>
    <w:rsid w:val="00334188"/>
    <w:rsid w:val="00334A39"/>
    <w:rsid w:val="00335A0E"/>
    <w:rsid w:val="003363D0"/>
    <w:rsid w:val="0033690A"/>
    <w:rsid w:val="0033690F"/>
    <w:rsid w:val="0033744F"/>
    <w:rsid w:val="00337F91"/>
    <w:rsid w:val="00340297"/>
    <w:rsid w:val="003428B9"/>
    <w:rsid w:val="0034447F"/>
    <w:rsid w:val="003471AD"/>
    <w:rsid w:val="00350D6A"/>
    <w:rsid w:val="00350E6C"/>
    <w:rsid w:val="00351998"/>
    <w:rsid w:val="003528C3"/>
    <w:rsid w:val="00353FB7"/>
    <w:rsid w:val="00354C86"/>
    <w:rsid w:val="00355C20"/>
    <w:rsid w:val="00356362"/>
    <w:rsid w:val="0035687A"/>
    <w:rsid w:val="003612EC"/>
    <w:rsid w:val="00363500"/>
    <w:rsid w:val="003654C8"/>
    <w:rsid w:val="00367E31"/>
    <w:rsid w:val="0037181B"/>
    <w:rsid w:val="00371E0C"/>
    <w:rsid w:val="00375329"/>
    <w:rsid w:val="00375DCC"/>
    <w:rsid w:val="00375F0F"/>
    <w:rsid w:val="003770C9"/>
    <w:rsid w:val="00380042"/>
    <w:rsid w:val="00380625"/>
    <w:rsid w:val="00384677"/>
    <w:rsid w:val="00384D8D"/>
    <w:rsid w:val="00391228"/>
    <w:rsid w:val="0039159F"/>
    <w:rsid w:val="00391D40"/>
    <w:rsid w:val="00391FCD"/>
    <w:rsid w:val="00392EFC"/>
    <w:rsid w:val="00393CCA"/>
    <w:rsid w:val="0039645B"/>
    <w:rsid w:val="003A05BE"/>
    <w:rsid w:val="003A26F2"/>
    <w:rsid w:val="003A270B"/>
    <w:rsid w:val="003A2C42"/>
    <w:rsid w:val="003A2C96"/>
    <w:rsid w:val="003A6352"/>
    <w:rsid w:val="003A6726"/>
    <w:rsid w:val="003A6BCF"/>
    <w:rsid w:val="003A784A"/>
    <w:rsid w:val="003B0C5F"/>
    <w:rsid w:val="003B12FB"/>
    <w:rsid w:val="003B1F5A"/>
    <w:rsid w:val="003B5D60"/>
    <w:rsid w:val="003B7870"/>
    <w:rsid w:val="003C091B"/>
    <w:rsid w:val="003D147A"/>
    <w:rsid w:val="003D1AF8"/>
    <w:rsid w:val="003D23D7"/>
    <w:rsid w:val="003D390C"/>
    <w:rsid w:val="003D57E3"/>
    <w:rsid w:val="003D5C40"/>
    <w:rsid w:val="003E0F1F"/>
    <w:rsid w:val="003E1381"/>
    <w:rsid w:val="003E3DA2"/>
    <w:rsid w:val="003E6D2D"/>
    <w:rsid w:val="003E74B3"/>
    <w:rsid w:val="003F1D8F"/>
    <w:rsid w:val="003F204B"/>
    <w:rsid w:val="003F2AC6"/>
    <w:rsid w:val="003F2F22"/>
    <w:rsid w:val="003F3D9E"/>
    <w:rsid w:val="003F4398"/>
    <w:rsid w:val="003F5BB2"/>
    <w:rsid w:val="003F6A86"/>
    <w:rsid w:val="0040247C"/>
    <w:rsid w:val="00405B29"/>
    <w:rsid w:val="00407962"/>
    <w:rsid w:val="00407D5F"/>
    <w:rsid w:val="00410273"/>
    <w:rsid w:val="004103C9"/>
    <w:rsid w:val="00410634"/>
    <w:rsid w:val="00411172"/>
    <w:rsid w:val="004114F9"/>
    <w:rsid w:val="004137BE"/>
    <w:rsid w:val="00414607"/>
    <w:rsid w:val="00414F8A"/>
    <w:rsid w:val="00420D6D"/>
    <w:rsid w:val="004228C3"/>
    <w:rsid w:val="00423AB2"/>
    <w:rsid w:val="0042470B"/>
    <w:rsid w:val="00427663"/>
    <w:rsid w:val="004276AB"/>
    <w:rsid w:val="00427E24"/>
    <w:rsid w:val="00431439"/>
    <w:rsid w:val="00431D3E"/>
    <w:rsid w:val="00432105"/>
    <w:rsid w:val="004333C2"/>
    <w:rsid w:val="004346D4"/>
    <w:rsid w:val="00434F1E"/>
    <w:rsid w:val="004374B6"/>
    <w:rsid w:val="00437AC0"/>
    <w:rsid w:val="004404A2"/>
    <w:rsid w:val="004415E6"/>
    <w:rsid w:val="0044224B"/>
    <w:rsid w:val="00442257"/>
    <w:rsid w:val="0044286C"/>
    <w:rsid w:val="00442F8E"/>
    <w:rsid w:val="00443EBE"/>
    <w:rsid w:val="0044418D"/>
    <w:rsid w:val="00446901"/>
    <w:rsid w:val="00450E88"/>
    <w:rsid w:val="00450FBD"/>
    <w:rsid w:val="00451784"/>
    <w:rsid w:val="00451F3A"/>
    <w:rsid w:val="004527E3"/>
    <w:rsid w:val="00452DC2"/>
    <w:rsid w:val="00454214"/>
    <w:rsid w:val="00455B22"/>
    <w:rsid w:val="0046170E"/>
    <w:rsid w:val="00463140"/>
    <w:rsid w:val="004632EF"/>
    <w:rsid w:val="00470603"/>
    <w:rsid w:val="0047471C"/>
    <w:rsid w:val="00475278"/>
    <w:rsid w:val="00477E60"/>
    <w:rsid w:val="00480B05"/>
    <w:rsid w:val="004811C4"/>
    <w:rsid w:val="0048298B"/>
    <w:rsid w:val="00485A03"/>
    <w:rsid w:val="00487BC4"/>
    <w:rsid w:val="0049275F"/>
    <w:rsid w:val="00494099"/>
    <w:rsid w:val="0049486E"/>
    <w:rsid w:val="0049505C"/>
    <w:rsid w:val="00496447"/>
    <w:rsid w:val="004A1802"/>
    <w:rsid w:val="004A186F"/>
    <w:rsid w:val="004A1D3C"/>
    <w:rsid w:val="004A2F3B"/>
    <w:rsid w:val="004A38F1"/>
    <w:rsid w:val="004A4676"/>
    <w:rsid w:val="004A50F4"/>
    <w:rsid w:val="004A57D6"/>
    <w:rsid w:val="004A595C"/>
    <w:rsid w:val="004A73EF"/>
    <w:rsid w:val="004B0AA8"/>
    <w:rsid w:val="004B0D25"/>
    <w:rsid w:val="004B1412"/>
    <w:rsid w:val="004B1957"/>
    <w:rsid w:val="004B20BF"/>
    <w:rsid w:val="004B4401"/>
    <w:rsid w:val="004B65EF"/>
    <w:rsid w:val="004C1E1B"/>
    <w:rsid w:val="004C5B8B"/>
    <w:rsid w:val="004C5EFC"/>
    <w:rsid w:val="004C6A45"/>
    <w:rsid w:val="004C6CAD"/>
    <w:rsid w:val="004D11E6"/>
    <w:rsid w:val="004D19F6"/>
    <w:rsid w:val="004D322C"/>
    <w:rsid w:val="004D51F8"/>
    <w:rsid w:val="004D68D9"/>
    <w:rsid w:val="004D6B43"/>
    <w:rsid w:val="004E015B"/>
    <w:rsid w:val="004E1ECD"/>
    <w:rsid w:val="004E215A"/>
    <w:rsid w:val="004E217A"/>
    <w:rsid w:val="004E2A0C"/>
    <w:rsid w:val="004E356A"/>
    <w:rsid w:val="004E4D64"/>
    <w:rsid w:val="004E55D9"/>
    <w:rsid w:val="004E6CB1"/>
    <w:rsid w:val="004F086E"/>
    <w:rsid w:val="004F1048"/>
    <w:rsid w:val="004F38A8"/>
    <w:rsid w:val="004F4DA6"/>
    <w:rsid w:val="004F503D"/>
    <w:rsid w:val="004F5E94"/>
    <w:rsid w:val="004F63AF"/>
    <w:rsid w:val="004F6A6E"/>
    <w:rsid w:val="004F76B0"/>
    <w:rsid w:val="00500433"/>
    <w:rsid w:val="00500A9B"/>
    <w:rsid w:val="00500BE9"/>
    <w:rsid w:val="00501707"/>
    <w:rsid w:val="005030A3"/>
    <w:rsid w:val="00504615"/>
    <w:rsid w:val="00504C71"/>
    <w:rsid w:val="0050552B"/>
    <w:rsid w:val="00505628"/>
    <w:rsid w:val="005077DA"/>
    <w:rsid w:val="00512573"/>
    <w:rsid w:val="00512F43"/>
    <w:rsid w:val="00512F6E"/>
    <w:rsid w:val="00514B5A"/>
    <w:rsid w:val="00514B8C"/>
    <w:rsid w:val="00515C49"/>
    <w:rsid w:val="0051682A"/>
    <w:rsid w:val="00517A91"/>
    <w:rsid w:val="005203E6"/>
    <w:rsid w:val="00520CB8"/>
    <w:rsid w:val="00521178"/>
    <w:rsid w:val="0052286D"/>
    <w:rsid w:val="00524201"/>
    <w:rsid w:val="00524B98"/>
    <w:rsid w:val="005254A4"/>
    <w:rsid w:val="00525975"/>
    <w:rsid w:val="00526367"/>
    <w:rsid w:val="00526F63"/>
    <w:rsid w:val="005279A4"/>
    <w:rsid w:val="00527B23"/>
    <w:rsid w:val="00530FB0"/>
    <w:rsid w:val="0053304F"/>
    <w:rsid w:val="00533430"/>
    <w:rsid w:val="00533880"/>
    <w:rsid w:val="005345D3"/>
    <w:rsid w:val="005348DA"/>
    <w:rsid w:val="005368E7"/>
    <w:rsid w:val="00536E65"/>
    <w:rsid w:val="00537779"/>
    <w:rsid w:val="0054019A"/>
    <w:rsid w:val="00540EAC"/>
    <w:rsid w:val="005413ED"/>
    <w:rsid w:val="005419D0"/>
    <w:rsid w:val="00541C81"/>
    <w:rsid w:val="00545488"/>
    <w:rsid w:val="00550B1B"/>
    <w:rsid w:val="005532F4"/>
    <w:rsid w:val="00554BEC"/>
    <w:rsid w:val="00554ED7"/>
    <w:rsid w:val="005558E2"/>
    <w:rsid w:val="00555B27"/>
    <w:rsid w:val="00562A17"/>
    <w:rsid w:val="0056531E"/>
    <w:rsid w:val="005655A9"/>
    <w:rsid w:val="00565D96"/>
    <w:rsid w:val="0056654D"/>
    <w:rsid w:val="00570CF3"/>
    <w:rsid w:val="00570D6F"/>
    <w:rsid w:val="00575199"/>
    <w:rsid w:val="0057613E"/>
    <w:rsid w:val="00576A49"/>
    <w:rsid w:val="00580758"/>
    <w:rsid w:val="0058160A"/>
    <w:rsid w:val="00582075"/>
    <w:rsid w:val="005838F4"/>
    <w:rsid w:val="00583D7E"/>
    <w:rsid w:val="00584CC3"/>
    <w:rsid w:val="00586FDE"/>
    <w:rsid w:val="00587A2C"/>
    <w:rsid w:val="005908BD"/>
    <w:rsid w:val="00590EA0"/>
    <w:rsid w:val="00592CA9"/>
    <w:rsid w:val="00593604"/>
    <w:rsid w:val="005972A9"/>
    <w:rsid w:val="005976D7"/>
    <w:rsid w:val="00597C25"/>
    <w:rsid w:val="005A34B1"/>
    <w:rsid w:val="005A3E10"/>
    <w:rsid w:val="005A3F0E"/>
    <w:rsid w:val="005A5C8D"/>
    <w:rsid w:val="005A681F"/>
    <w:rsid w:val="005A6C3B"/>
    <w:rsid w:val="005B0263"/>
    <w:rsid w:val="005B087A"/>
    <w:rsid w:val="005B0A32"/>
    <w:rsid w:val="005B1987"/>
    <w:rsid w:val="005B1DAA"/>
    <w:rsid w:val="005B2646"/>
    <w:rsid w:val="005B401C"/>
    <w:rsid w:val="005B61C5"/>
    <w:rsid w:val="005C07AA"/>
    <w:rsid w:val="005C086B"/>
    <w:rsid w:val="005C1239"/>
    <w:rsid w:val="005C324B"/>
    <w:rsid w:val="005C3B61"/>
    <w:rsid w:val="005C5347"/>
    <w:rsid w:val="005C5ED5"/>
    <w:rsid w:val="005C6006"/>
    <w:rsid w:val="005C7D4A"/>
    <w:rsid w:val="005D0661"/>
    <w:rsid w:val="005D0DF0"/>
    <w:rsid w:val="005D732B"/>
    <w:rsid w:val="005E0524"/>
    <w:rsid w:val="005E1CBC"/>
    <w:rsid w:val="005E38D6"/>
    <w:rsid w:val="005E4DC8"/>
    <w:rsid w:val="005E5189"/>
    <w:rsid w:val="005E54E8"/>
    <w:rsid w:val="005E5EC7"/>
    <w:rsid w:val="005F5BB7"/>
    <w:rsid w:val="005F6923"/>
    <w:rsid w:val="005F6C81"/>
    <w:rsid w:val="005F70A3"/>
    <w:rsid w:val="00601693"/>
    <w:rsid w:val="006017F3"/>
    <w:rsid w:val="0060577C"/>
    <w:rsid w:val="006057B7"/>
    <w:rsid w:val="0061184A"/>
    <w:rsid w:val="00611E36"/>
    <w:rsid w:val="006121DE"/>
    <w:rsid w:val="006125EE"/>
    <w:rsid w:val="00613513"/>
    <w:rsid w:val="00613602"/>
    <w:rsid w:val="00613CBC"/>
    <w:rsid w:val="00613F02"/>
    <w:rsid w:val="006166A2"/>
    <w:rsid w:val="0062121A"/>
    <w:rsid w:val="00621F18"/>
    <w:rsid w:val="0062219F"/>
    <w:rsid w:val="00622A04"/>
    <w:rsid w:val="0062453C"/>
    <w:rsid w:val="006255A5"/>
    <w:rsid w:val="006256FB"/>
    <w:rsid w:val="00630CAD"/>
    <w:rsid w:val="00631E40"/>
    <w:rsid w:val="00634F5B"/>
    <w:rsid w:val="006368D0"/>
    <w:rsid w:val="00637239"/>
    <w:rsid w:val="00640231"/>
    <w:rsid w:val="00640825"/>
    <w:rsid w:val="006416BF"/>
    <w:rsid w:val="00642580"/>
    <w:rsid w:val="00642B5E"/>
    <w:rsid w:val="00644D98"/>
    <w:rsid w:val="00646B7C"/>
    <w:rsid w:val="00647D39"/>
    <w:rsid w:val="00647F28"/>
    <w:rsid w:val="006511EC"/>
    <w:rsid w:val="0065141A"/>
    <w:rsid w:val="00651659"/>
    <w:rsid w:val="00651FF1"/>
    <w:rsid w:val="00654CE9"/>
    <w:rsid w:val="0065524D"/>
    <w:rsid w:val="006606F3"/>
    <w:rsid w:val="00663105"/>
    <w:rsid w:val="0066333A"/>
    <w:rsid w:val="006649D9"/>
    <w:rsid w:val="006656F5"/>
    <w:rsid w:val="00665BD3"/>
    <w:rsid w:val="0067053A"/>
    <w:rsid w:val="006722C3"/>
    <w:rsid w:val="0067481A"/>
    <w:rsid w:val="006748B6"/>
    <w:rsid w:val="00674B34"/>
    <w:rsid w:val="00676B1D"/>
    <w:rsid w:val="006770E9"/>
    <w:rsid w:val="00682211"/>
    <w:rsid w:val="006822C3"/>
    <w:rsid w:val="00682315"/>
    <w:rsid w:val="00682843"/>
    <w:rsid w:val="00684BCB"/>
    <w:rsid w:val="006859EE"/>
    <w:rsid w:val="00686B11"/>
    <w:rsid w:val="0068729E"/>
    <w:rsid w:val="0069007F"/>
    <w:rsid w:val="0069173F"/>
    <w:rsid w:val="006919E1"/>
    <w:rsid w:val="0069222A"/>
    <w:rsid w:val="00692671"/>
    <w:rsid w:val="00692DFE"/>
    <w:rsid w:val="006962CD"/>
    <w:rsid w:val="0069780B"/>
    <w:rsid w:val="006A3130"/>
    <w:rsid w:val="006A3316"/>
    <w:rsid w:val="006A3B26"/>
    <w:rsid w:val="006A5E24"/>
    <w:rsid w:val="006A5E54"/>
    <w:rsid w:val="006A6F0E"/>
    <w:rsid w:val="006A7D69"/>
    <w:rsid w:val="006B42C6"/>
    <w:rsid w:val="006B5035"/>
    <w:rsid w:val="006B6908"/>
    <w:rsid w:val="006B7ABF"/>
    <w:rsid w:val="006C4430"/>
    <w:rsid w:val="006C527E"/>
    <w:rsid w:val="006C5607"/>
    <w:rsid w:val="006D2DC6"/>
    <w:rsid w:val="006D2E98"/>
    <w:rsid w:val="006D3340"/>
    <w:rsid w:val="006D6842"/>
    <w:rsid w:val="006D6940"/>
    <w:rsid w:val="006E0881"/>
    <w:rsid w:val="006E10D5"/>
    <w:rsid w:val="006E1C9C"/>
    <w:rsid w:val="006E1D27"/>
    <w:rsid w:val="006E54EE"/>
    <w:rsid w:val="006E6026"/>
    <w:rsid w:val="006F2342"/>
    <w:rsid w:val="006F52C1"/>
    <w:rsid w:val="006F6C46"/>
    <w:rsid w:val="007039BC"/>
    <w:rsid w:val="00703A2A"/>
    <w:rsid w:val="00705233"/>
    <w:rsid w:val="00705600"/>
    <w:rsid w:val="00706C0B"/>
    <w:rsid w:val="00706C10"/>
    <w:rsid w:val="0071565D"/>
    <w:rsid w:val="00716B59"/>
    <w:rsid w:val="00716D48"/>
    <w:rsid w:val="00717036"/>
    <w:rsid w:val="0072095D"/>
    <w:rsid w:val="0072215F"/>
    <w:rsid w:val="0072234F"/>
    <w:rsid w:val="0072273E"/>
    <w:rsid w:val="00723286"/>
    <w:rsid w:val="00724401"/>
    <w:rsid w:val="007253D9"/>
    <w:rsid w:val="00726A4F"/>
    <w:rsid w:val="00731521"/>
    <w:rsid w:val="00733CB9"/>
    <w:rsid w:val="00734392"/>
    <w:rsid w:val="0073453F"/>
    <w:rsid w:val="00735222"/>
    <w:rsid w:val="0073531C"/>
    <w:rsid w:val="00735C58"/>
    <w:rsid w:val="00735E03"/>
    <w:rsid w:val="007379CC"/>
    <w:rsid w:val="00742BAB"/>
    <w:rsid w:val="007526B9"/>
    <w:rsid w:val="0075297F"/>
    <w:rsid w:val="0075329C"/>
    <w:rsid w:val="00753895"/>
    <w:rsid w:val="007545F9"/>
    <w:rsid w:val="00760A49"/>
    <w:rsid w:val="00760B75"/>
    <w:rsid w:val="007627EC"/>
    <w:rsid w:val="00762D91"/>
    <w:rsid w:val="00764304"/>
    <w:rsid w:val="0076597E"/>
    <w:rsid w:val="00767FDE"/>
    <w:rsid w:val="00770DEC"/>
    <w:rsid w:val="00771563"/>
    <w:rsid w:val="00773BBD"/>
    <w:rsid w:val="00775117"/>
    <w:rsid w:val="00775444"/>
    <w:rsid w:val="00775D85"/>
    <w:rsid w:val="00776059"/>
    <w:rsid w:val="00776F8E"/>
    <w:rsid w:val="0077793C"/>
    <w:rsid w:val="0078064E"/>
    <w:rsid w:val="007818F1"/>
    <w:rsid w:val="00781D48"/>
    <w:rsid w:val="00782277"/>
    <w:rsid w:val="007840FD"/>
    <w:rsid w:val="00784DB0"/>
    <w:rsid w:val="00786461"/>
    <w:rsid w:val="00787AD4"/>
    <w:rsid w:val="00790144"/>
    <w:rsid w:val="0079118C"/>
    <w:rsid w:val="007939C3"/>
    <w:rsid w:val="0079462C"/>
    <w:rsid w:val="00794680"/>
    <w:rsid w:val="00794CC6"/>
    <w:rsid w:val="00795E6E"/>
    <w:rsid w:val="007A2EBC"/>
    <w:rsid w:val="007A3B93"/>
    <w:rsid w:val="007B1A08"/>
    <w:rsid w:val="007B2C00"/>
    <w:rsid w:val="007B476D"/>
    <w:rsid w:val="007B4F8D"/>
    <w:rsid w:val="007B56AD"/>
    <w:rsid w:val="007B5CB7"/>
    <w:rsid w:val="007B5DD4"/>
    <w:rsid w:val="007B65E6"/>
    <w:rsid w:val="007B7B6A"/>
    <w:rsid w:val="007C1461"/>
    <w:rsid w:val="007C43BF"/>
    <w:rsid w:val="007C4B68"/>
    <w:rsid w:val="007C6A88"/>
    <w:rsid w:val="007C70CD"/>
    <w:rsid w:val="007C7FFC"/>
    <w:rsid w:val="007D17CC"/>
    <w:rsid w:val="007D224B"/>
    <w:rsid w:val="007D5A66"/>
    <w:rsid w:val="007E00F7"/>
    <w:rsid w:val="007E31D0"/>
    <w:rsid w:val="007E426A"/>
    <w:rsid w:val="007E4FAA"/>
    <w:rsid w:val="007E529D"/>
    <w:rsid w:val="007E7788"/>
    <w:rsid w:val="007F1163"/>
    <w:rsid w:val="007F1E63"/>
    <w:rsid w:val="007F4B15"/>
    <w:rsid w:val="007F4DED"/>
    <w:rsid w:val="007F5468"/>
    <w:rsid w:val="007F6F9C"/>
    <w:rsid w:val="007F7216"/>
    <w:rsid w:val="00800297"/>
    <w:rsid w:val="00801C62"/>
    <w:rsid w:val="00801DC5"/>
    <w:rsid w:val="00802407"/>
    <w:rsid w:val="00802A8F"/>
    <w:rsid w:val="00802E67"/>
    <w:rsid w:val="00805115"/>
    <w:rsid w:val="0080561D"/>
    <w:rsid w:val="00811912"/>
    <w:rsid w:val="00811C8F"/>
    <w:rsid w:val="00813296"/>
    <w:rsid w:val="0081461F"/>
    <w:rsid w:val="0081469A"/>
    <w:rsid w:val="00815630"/>
    <w:rsid w:val="00815A34"/>
    <w:rsid w:val="00816EB3"/>
    <w:rsid w:val="00817186"/>
    <w:rsid w:val="00817315"/>
    <w:rsid w:val="00821880"/>
    <w:rsid w:val="0082192A"/>
    <w:rsid w:val="00823B68"/>
    <w:rsid w:val="008246D1"/>
    <w:rsid w:val="008254C0"/>
    <w:rsid w:val="00827C13"/>
    <w:rsid w:val="008316F9"/>
    <w:rsid w:val="00834FC2"/>
    <w:rsid w:val="0083635D"/>
    <w:rsid w:val="00837E71"/>
    <w:rsid w:val="00840722"/>
    <w:rsid w:val="0084076F"/>
    <w:rsid w:val="00842335"/>
    <w:rsid w:val="00844038"/>
    <w:rsid w:val="008440F4"/>
    <w:rsid w:val="00845AF8"/>
    <w:rsid w:val="00850EA7"/>
    <w:rsid w:val="008538D0"/>
    <w:rsid w:val="008577F5"/>
    <w:rsid w:val="00857C7F"/>
    <w:rsid w:val="00857CA1"/>
    <w:rsid w:val="0086080A"/>
    <w:rsid w:val="00861ED4"/>
    <w:rsid w:val="00862C13"/>
    <w:rsid w:val="00863EA3"/>
    <w:rsid w:val="008675D3"/>
    <w:rsid w:val="00871508"/>
    <w:rsid w:val="00871CCB"/>
    <w:rsid w:val="00871FEE"/>
    <w:rsid w:val="00874351"/>
    <w:rsid w:val="008743B7"/>
    <w:rsid w:val="00882E8D"/>
    <w:rsid w:val="0088354F"/>
    <w:rsid w:val="00883CB9"/>
    <w:rsid w:val="00883F92"/>
    <w:rsid w:val="0088566A"/>
    <w:rsid w:val="00885B3B"/>
    <w:rsid w:val="00885E0A"/>
    <w:rsid w:val="00885E3E"/>
    <w:rsid w:val="008866CF"/>
    <w:rsid w:val="008869B9"/>
    <w:rsid w:val="00886E44"/>
    <w:rsid w:val="0088708C"/>
    <w:rsid w:val="00887CD1"/>
    <w:rsid w:val="00891122"/>
    <w:rsid w:val="00895241"/>
    <w:rsid w:val="00897590"/>
    <w:rsid w:val="008A1CF5"/>
    <w:rsid w:val="008A27F2"/>
    <w:rsid w:val="008A3FFC"/>
    <w:rsid w:val="008A42AA"/>
    <w:rsid w:val="008A4E21"/>
    <w:rsid w:val="008A507C"/>
    <w:rsid w:val="008A574F"/>
    <w:rsid w:val="008A6E4D"/>
    <w:rsid w:val="008A7410"/>
    <w:rsid w:val="008A7417"/>
    <w:rsid w:val="008B1D25"/>
    <w:rsid w:val="008B7703"/>
    <w:rsid w:val="008C0F9A"/>
    <w:rsid w:val="008C1894"/>
    <w:rsid w:val="008C24B1"/>
    <w:rsid w:val="008C29F6"/>
    <w:rsid w:val="008C301B"/>
    <w:rsid w:val="008C4794"/>
    <w:rsid w:val="008C70A6"/>
    <w:rsid w:val="008C7436"/>
    <w:rsid w:val="008D1B14"/>
    <w:rsid w:val="008D29BA"/>
    <w:rsid w:val="008D2C43"/>
    <w:rsid w:val="008D2F97"/>
    <w:rsid w:val="008D4B49"/>
    <w:rsid w:val="008D4EDA"/>
    <w:rsid w:val="008D6F7A"/>
    <w:rsid w:val="008E142A"/>
    <w:rsid w:val="008E1634"/>
    <w:rsid w:val="008E16F4"/>
    <w:rsid w:val="008E17DE"/>
    <w:rsid w:val="008E2068"/>
    <w:rsid w:val="008E36E4"/>
    <w:rsid w:val="008E5560"/>
    <w:rsid w:val="008F0750"/>
    <w:rsid w:val="008F150C"/>
    <w:rsid w:val="008F2E61"/>
    <w:rsid w:val="008F3788"/>
    <w:rsid w:val="008F3860"/>
    <w:rsid w:val="008F3E2D"/>
    <w:rsid w:val="008F42F5"/>
    <w:rsid w:val="009033C5"/>
    <w:rsid w:val="009040E5"/>
    <w:rsid w:val="009041C1"/>
    <w:rsid w:val="00904511"/>
    <w:rsid w:val="00906A51"/>
    <w:rsid w:val="00911574"/>
    <w:rsid w:val="00913431"/>
    <w:rsid w:val="00914379"/>
    <w:rsid w:val="00920C0A"/>
    <w:rsid w:val="00921D0E"/>
    <w:rsid w:val="00922608"/>
    <w:rsid w:val="00923541"/>
    <w:rsid w:val="0092371C"/>
    <w:rsid w:val="00925BB6"/>
    <w:rsid w:val="009278DC"/>
    <w:rsid w:val="00927C74"/>
    <w:rsid w:val="009311EF"/>
    <w:rsid w:val="009323DA"/>
    <w:rsid w:val="00934F1F"/>
    <w:rsid w:val="00935A5F"/>
    <w:rsid w:val="00935D99"/>
    <w:rsid w:val="00936035"/>
    <w:rsid w:val="00940AE5"/>
    <w:rsid w:val="009442C7"/>
    <w:rsid w:val="00946A97"/>
    <w:rsid w:val="0094796B"/>
    <w:rsid w:val="009550CC"/>
    <w:rsid w:val="0095742C"/>
    <w:rsid w:val="00957B8B"/>
    <w:rsid w:val="0096041A"/>
    <w:rsid w:val="00960780"/>
    <w:rsid w:val="00960BE8"/>
    <w:rsid w:val="00960DF3"/>
    <w:rsid w:val="009615C7"/>
    <w:rsid w:val="0096265A"/>
    <w:rsid w:val="00962C72"/>
    <w:rsid w:val="009636DD"/>
    <w:rsid w:val="00964232"/>
    <w:rsid w:val="00964F00"/>
    <w:rsid w:val="009668DD"/>
    <w:rsid w:val="00967DBC"/>
    <w:rsid w:val="00970615"/>
    <w:rsid w:val="00970855"/>
    <w:rsid w:val="00971BE6"/>
    <w:rsid w:val="00973E0B"/>
    <w:rsid w:val="0097664A"/>
    <w:rsid w:val="0097682C"/>
    <w:rsid w:val="00977D54"/>
    <w:rsid w:val="00980677"/>
    <w:rsid w:val="00985A54"/>
    <w:rsid w:val="00990DB1"/>
    <w:rsid w:val="00991418"/>
    <w:rsid w:val="00991864"/>
    <w:rsid w:val="00994955"/>
    <w:rsid w:val="00994A7B"/>
    <w:rsid w:val="009951BB"/>
    <w:rsid w:val="00995A1B"/>
    <w:rsid w:val="00997C9C"/>
    <w:rsid w:val="009A0149"/>
    <w:rsid w:val="009A0F44"/>
    <w:rsid w:val="009A100A"/>
    <w:rsid w:val="009A44D9"/>
    <w:rsid w:val="009A470F"/>
    <w:rsid w:val="009A5856"/>
    <w:rsid w:val="009A63B5"/>
    <w:rsid w:val="009A66AF"/>
    <w:rsid w:val="009A6ACB"/>
    <w:rsid w:val="009B15F2"/>
    <w:rsid w:val="009B2183"/>
    <w:rsid w:val="009B3672"/>
    <w:rsid w:val="009B477D"/>
    <w:rsid w:val="009B4BAD"/>
    <w:rsid w:val="009B4C42"/>
    <w:rsid w:val="009B6A8A"/>
    <w:rsid w:val="009C2A96"/>
    <w:rsid w:val="009C3B88"/>
    <w:rsid w:val="009C465A"/>
    <w:rsid w:val="009C4ECD"/>
    <w:rsid w:val="009C62A2"/>
    <w:rsid w:val="009C79D4"/>
    <w:rsid w:val="009C7AA5"/>
    <w:rsid w:val="009D04C7"/>
    <w:rsid w:val="009D06EA"/>
    <w:rsid w:val="009D1302"/>
    <w:rsid w:val="009D5143"/>
    <w:rsid w:val="009D732C"/>
    <w:rsid w:val="009D7869"/>
    <w:rsid w:val="009D78B9"/>
    <w:rsid w:val="009E707F"/>
    <w:rsid w:val="009E797F"/>
    <w:rsid w:val="009E7D1E"/>
    <w:rsid w:val="009F2883"/>
    <w:rsid w:val="009F2F82"/>
    <w:rsid w:val="009F3056"/>
    <w:rsid w:val="009F3BA8"/>
    <w:rsid w:val="00A0054A"/>
    <w:rsid w:val="00A01454"/>
    <w:rsid w:val="00A01917"/>
    <w:rsid w:val="00A0249D"/>
    <w:rsid w:val="00A02856"/>
    <w:rsid w:val="00A038BF"/>
    <w:rsid w:val="00A06739"/>
    <w:rsid w:val="00A0680B"/>
    <w:rsid w:val="00A069FE"/>
    <w:rsid w:val="00A06F59"/>
    <w:rsid w:val="00A07BBE"/>
    <w:rsid w:val="00A07D4A"/>
    <w:rsid w:val="00A10467"/>
    <w:rsid w:val="00A104F8"/>
    <w:rsid w:val="00A10868"/>
    <w:rsid w:val="00A11653"/>
    <w:rsid w:val="00A118EF"/>
    <w:rsid w:val="00A134A0"/>
    <w:rsid w:val="00A17B5B"/>
    <w:rsid w:val="00A202EF"/>
    <w:rsid w:val="00A21722"/>
    <w:rsid w:val="00A24370"/>
    <w:rsid w:val="00A24933"/>
    <w:rsid w:val="00A24FEE"/>
    <w:rsid w:val="00A27A17"/>
    <w:rsid w:val="00A314AD"/>
    <w:rsid w:val="00A3583F"/>
    <w:rsid w:val="00A35987"/>
    <w:rsid w:val="00A35B61"/>
    <w:rsid w:val="00A377E2"/>
    <w:rsid w:val="00A40A16"/>
    <w:rsid w:val="00A40F36"/>
    <w:rsid w:val="00A4109B"/>
    <w:rsid w:val="00A42B6A"/>
    <w:rsid w:val="00A43DCB"/>
    <w:rsid w:val="00A4439A"/>
    <w:rsid w:val="00A44CB4"/>
    <w:rsid w:val="00A47272"/>
    <w:rsid w:val="00A50064"/>
    <w:rsid w:val="00A51300"/>
    <w:rsid w:val="00A626C8"/>
    <w:rsid w:val="00A629FB"/>
    <w:rsid w:val="00A65939"/>
    <w:rsid w:val="00A7074F"/>
    <w:rsid w:val="00A71026"/>
    <w:rsid w:val="00A72348"/>
    <w:rsid w:val="00A74037"/>
    <w:rsid w:val="00A803AC"/>
    <w:rsid w:val="00A81363"/>
    <w:rsid w:val="00A82AFF"/>
    <w:rsid w:val="00A83FE2"/>
    <w:rsid w:val="00A866CB"/>
    <w:rsid w:val="00A86A4D"/>
    <w:rsid w:val="00A90A0C"/>
    <w:rsid w:val="00A90A35"/>
    <w:rsid w:val="00A9137C"/>
    <w:rsid w:val="00A95207"/>
    <w:rsid w:val="00A95601"/>
    <w:rsid w:val="00A95CF6"/>
    <w:rsid w:val="00A96C0E"/>
    <w:rsid w:val="00A97165"/>
    <w:rsid w:val="00AA0813"/>
    <w:rsid w:val="00AA09DA"/>
    <w:rsid w:val="00AA30CC"/>
    <w:rsid w:val="00AA38B4"/>
    <w:rsid w:val="00AA498C"/>
    <w:rsid w:val="00AA4B7D"/>
    <w:rsid w:val="00AA4BAC"/>
    <w:rsid w:val="00AA6033"/>
    <w:rsid w:val="00AA78EE"/>
    <w:rsid w:val="00AB23D0"/>
    <w:rsid w:val="00AB2415"/>
    <w:rsid w:val="00AB2BBD"/>
    <w:rsid w:val="00AB3139"/>
    <w:rsid w:val="00AB31E4"/>
    <w:rsid w:val="00AB3829"/>
    <w:rsid w:val="00AB5539"/>
    <w:rsid w:val="00AB5A4D"/>
    <w:rsid w:val="00AB6E20"/>
    <w:rsid w:val="00AB75AC"/>
    <w:rsid w:val="00AB77F3"/>
    <w:rsid w:val="00AC0CB8"/>
    <w:rsid w:val="00AC2E00"/>
    <w:rsid w:val="00AC31A7"/>
    <w:rsid w:val="00AC3F8E"/>
    <w:rsid w:val="00AC4446"/>
    <w:rsid w:val="00AC4A96"/>
    <w:rsid w:val="00AC4C37"/>
    <w:rsid w:val="00AC6178"/>
    <w:rsid w:val="00AC7298"/>
    <w:rsid w:val="00AC784A"/>
    <w:rsid w:val="00AD1148"/>
    <w:rsid w:val="00AD227C"/>
    <w:rsid w:val="00AD3AFC"/>
    <w:rsid w:val="00AD3C49"/>
    <w:rsid w:val="00AD40F8"/>
    <w:rsid w:val="00AD581E"/>
    <w:rsid w:val="00AD66C8"/>
    <w:rsid w:val="00AE010D"/>
    <w:rsid w:val="00AE0E6A"/>
    <w:rsid w:val="00AE21EA"/>
    <w:rsid w:val="00AE26D5"/>
    <w:rsid w:val="00AE7AB2"/>
    <w:rsid w:val="00AF0A27"/>
    <w:rsid w:val="00AF4C96"/>
    <w:rsid w:val="00AF593D"/>
    <w:rsid w:val="00AF5984"/>
    <w:rsid w:val="00AF6C98"/>
    <w:rsid w:val="00AF70CB"/>
    <w:rsid w:val="00AF7FB1"/>
    <w:rsid w:val="00B02715"/>
    <w:rsid w:val="00B02CB5"/>
    <w:rsid w:val="00B0440C"/>
    <w:rsid w:val="00B049A5"/>
    <w:rsid w:val="00B05ED0"/>
    <w:rsid w:val="00B06796"/>
    <w:rsid w:val="00B06B50"/>
    <w:rsid w:val="00B07483"/>
    <w:rsid w:val="00B12097"/>
    <w:rsid w:val="00B14870"/>
    <w:rsid w:val="00B16096"/>
    <w:rsid w:val="00B16D8C"/>
    <w:rsid w:val="00B202A7"/>
    <w:rsid w:val="00B204CD"/>
    <w:rsid w:val="00B2255E"/>
    <w:rsid w:val="00B23938"/>
    <w:rsid w:val="00B2516A"/>
    <w:rsid w:val="00B25A67"/>
    <w:rsid w:val="00B2700E"/>
    <w:rsid w:val="00B275EC"/>
    <w:rsid w:val="00B3174A"/>
    <w:rsid w:val="00B31E57"/>
    <w:rsid w:val="00B3233B"/>
    <w:rsid w:val="00B33914"/>
    <w:rsid w:val="00B353A6"/>
    <w:rsid w:val="00B35BD5"/>
    <w:rsid w:val="00B36675"/>
    <w:rsid w:val="00B42CC0"/>
    <w:rsid w:val="00B4398C"/>
    <w:rsid w:val="00B442FD"/>
    <w:rsid w:val="00B4558F"/>
    <w:rsid w:val="00B463E2"/>
    <w:rsid w:val="00B466A5"/>
    <w:rsid w:val="00B46B01"/>
    <w:rsid w:val="00B46CA3"/>
    <w:rsid w:val="00B46E6F"/>
    <w:rsid w:val="00B47FC4"/>
    <w:rsid w:val="00B50318"/>
    <w:rsid w:val="00B5036B"/>
    <w:rsid w:val="00B50689"/>
    <w:rsid w:val="00B515ED"/>
    <w:rsid w:val="00B519BC"/>
    <w:rsid w:val="00B51BFF"/>
    <w:rsid w:val="00B534F5"/>
    <w:rsid w:val="00B566A9"/>
    <w:rsid w:val="00B57243"/>
    <w:rsid w:val="00B60F49"/>
    <w:rsid w:val="00B63C94"/>
    <w:rsid w:val="00B66F49"/>
    <w:rsid w:val="00B6720E"/>
    <w:rsid w:val="00B67657"/>
    <w:rsid w:val="00B7146E"/>
    <w:rsid w:val="00B71F79"/>
    <w:rsid w:val="00B72869"/>
    <w:rsid w:val="00B72CEB"/>
    <w:rsid w:val="00B730CE"/>
    <w:rsid w:val="00B7435C"/>
    <w:rsid w:val="00B7481F"/>
    <w:rsid w:val="00B7672D"/>
    <w:rsid w:val="00B76AA9"/>
    <w:rsid w:val="00B76EB5"/>
    <w:rsid w:val="00B803F7"/>
    <w:rsid w:val="00B80570"/>
    <w:rsid w:val="00B80850"/>
    <w:rsid w:val="00B818A0"/>
    <w:rsid w:val="00B82144"/>
    <w:rsid w:val="00B8388B"/>
    <w:rsid w:val="00B83A9F"/>
    <w:rsid w:val="00B8577E"/>
    <w:rsid w:val="00B8668A"/>
    <w:rsid w:val="00B87B8D"/>
    <w:rsid w:val="00B90CE9"/>
    <w:rsid w:val="00B9117A"/>
    <w:rsid w:val="00B929CB"/>
    <w:rsid w:val="00B930DA"/>
    <w:rsid w:val="00B93DBE"/>
    <w:rsid w:val="00B94A18"/>
    <w:rsid w:val="00B950A4"/>
    <w:rsid w:val="00B9568D"/>
    <w:rsid w:val="00B97199"/>
    <w:rsid w:val="00B977D7"/>
    <w:rsid w:val="00BA0672"/>
    <w:rsid w:val="00BA1FD3"/>
    <w:rsid w:val="00BA2E7D"/>
    <w:rsid w:val="00BA3171"/>
    <w:rsid w:val="00BA3376"/>
    <w:rsid w:val="00BA5709"/>
    <w:rsid w:val="00BA6D63"/>
    <w:rsid w:val="00BA7723"/>
    <w:rsid w:val="00BA783E"/>
    <w:rsid w:val="00BB0E53"/>
    <w:rsid w:val="00BB357F"/>
    <w:rsid w:val="00BB4D26"/>
    <w:rsid w:val="00BB7B5D"/>
    <w:rsid w:val="00BC0E24"/>
    <w:rsid w:val="00BC1A68"/>
    <w:rsid w:val="00BC3F15"/>
    <w:rsid w:val="00BC42E6"/>
    <w:rsid w:val="00BC4C80"/>
    <w:rsid w:val="00BC519F"/>
    <w:rsid w:val="00BC5698"/>
    <w:rsid w:val="00BC6842"/>
    <w:rsid w:val="00BC7E72"/>
    <w:rsid w:val="00BD0A82"/>
    <w:rsid w:val="00BD63BB"/>
    <w:rsid w:val="00BD63E8"/>
    <w:rsid w:val="00BE4068"/>
    <w:rsid w:val="00BE59D9"/>
    <w:rsid w:val="00BE69AB"/>
    <w:rsid w:val="00BE7340"/>
    <w:rsid w:val="00BE7BD9"/>
    <w:rsid w:val="00BF0DDF"/>
    <w:rsid w:val="00BF17E3"/>
    <w:rsid w:val="00BF276B"/>
    <w:rsid w:val="00BF367F"/>
    <w:rsid w:val="00BF3883"/>
    <w:rsid w:val="00BF6165"/>
    <w:rsid w:val="00BF6E21"/>
    <w:rsid w:val="00BF7608"/>
    <w:rsid w:val="00C00389"/>
    <w:rsid w:val="00C02A9D"/>
    <w:rsid w:val="00C02C76"/>
    <w:rsid w:val="00C031E1"/>
    <w:rsid w:val="00C04099"/>
    <w:rsid w:val="00C062DC"/>
    <w:rsid w:val="00C11945"/>
    <w:rsid w:val="00C11D8C"/>
    <w:rsid w:val="00C12319"/>
    <w:rsid w:val="00C12421"/>
    <w:rsid w:val="00C138FC"/>
    <w:rsid w:val="00C14C2D"/>
    <w:rsid w:val="00C15660"/>
    <w:rsid w:val="00C16499"/>
    <w:rsid w:val="00C16504"/>
    <w:rsid w:val="00C17002"/>
    <w:rsid w:val="00C17508"/>
    <w:rsid w:val="00C2483F"/>
    <w:rsid w:val="00C249E3"/>
    <w:rsid w:val="00C25538"/>
    <w:rsid w:val="00C260E7"/>
    <w:rsid w:val="00C26B27"/>
    <w:rsid w:val="00C26C47"/>
    <w:rsid w:val="00C30AD2"/>
    <w:rsid w:val="00C33B41"/>
    <w:rsid w:val="00C3491A"/>
    <w:rsid w:val="00C350DC"/>
    <w:rsid w:val="00C35652"/>
    <w:rsid w:val="00C3760A"/>
    <w:rsid w:val="00C40CD0"/>
    <w:rsid w:val="00C4560B"/>
    <w:rsid w:val="00C45634"/>
    <w:rsid w:val="00C4604B"/>
    <w:rsid w:val="00C46A62"/>
    <w:rsid w:val="00C50378"/>
    <w:rsid w:val="00C508F7"/>
    <w:rsid w:val="00C50C28"/>
    <w:rsid w:val="00C51333"/>
    <w:rsid w:val="00C54C1D"/>
    <w:rsid w:val="00C54E1B"/>
    <w:rsid w:val="00C551F7"/>
    <w:rsid w:val="00C5606C"/>
    <w:rsid w:val="00C56878"/>
    <w:rsid w:val="00C57A06"/>
    <w:rsid w:val="00C60679"/>
    <w:rsid w:val="00C640CD"/>
    <w:rsid w:val="00C64284"/>
    <w:rsid w:val="00C64F91"/>
    <w:rsid w:val="00C65659"/>
    <w:rsid w:val="00C6669B"/>
    <w:rsid w:val="00C67333"/>
    <w:rsid w:val="00C678F2"/>
    <w:rsid w:val="00C70BF7"/>
    <w:rsid w:val="00C720C6"/>
    <w:rsid w:val="00C72155"/>
    <w:rsid w:val="00C7414E"/>
    <w:rsid w:val="00C74153"/>
    <w:rsid w:val="00C74D4E"/>
    <w:rsid w:val="00C74F3F"/>
    <w:rsid w:val="00C764FE"/>
    <w:rsid w:val="00C76E71"/>
    <w:rsid w:val="00C80282"/>
    <w:rsid w:val="00C84AD8"/>
    <w:rsid w:val="00C852CF"/>
    <w:rsid w:val="00C860DA"/>
    <w:rsid w:val="00C87EA7"/>
    <w:rsid w:val="00C90CDF"/>
    <w:rsid w:val="00C92D98"/>
    <w:rsid w:val="00C9445A"/>
    <w:rsid w:val="00C97167"/>
    <w:rsid w:val="00CA0C8D"/>
    <w:rsid w:val="00CA31CB"/>
    <w:rsid w:val="00CA3676"/>
    <w:rsid w:val="00CA47D3"/>
    <w:rsid w:val="00CA5194"/>
    <w:rsid w:val="00CA6B79"/>
    <w:rsid w:val="00CA6E13"/>
    <w:rsid w:val="00CA7980"/>
    <w:rsid w:val="00CB101A"/>
    <w:rsid w:val="00CB150C"/>
    <w:rsid w:val="00CB2ACB"/>
    <w:rsid w:val="00CB792C"/>
    <w:rsid w:val="00CC30E5"/>
    <w:rsid w:val="00CC3AF1"/>
    <w:rsid w:val="00CC3BDD"/>
    <w:rsid w:val="00CC45B4"/>
    <w:rsid w:val="00CC4616"/>
    <w:rsid w:val="00CC4CE8"/>
    <w:rsid w:val="00CC59CF"/>
    <w:rsid w:val="00CC6010"/>
    <w:rsid w:val="00CD27FA"/>
    <w:rsid w:val="00CD3439"/>
    <w:rsid w:val="00CD3DB5"/>
    <w:rsid w:val="00CD5B4A"/>
    <w:rsid w:val="00CD728E"/>
    <w:rsid w:val="00CD749C"/>
    <w:rsid w:val="00CD7A31"/>
    <w:rsid w:val="00CD7D02"/>
    <w:rsid w:val="00CE1C50"/>
    <w:rsid w:val="00CE4676"/>
    <w:rsid w:val="00CE55C1"/>
    <w:rsid w:val="00CE58A5"/>
    <w:rsid w:val="00CF0276"/>
    <w:rsid w:val="00CF1FE0"/>
    <w:rsid w:val="00CF2B0F"/>
    <w:rsid w:val="00CF7D66"/>
    <w:rsid w:val="00D01060"/>
    <w:rsid w:val="00D01528"/>
    <w:rsid w:val="00D01C18"/>
    <w:rsid w:val="00D0331B"/>
    <w:rsid w:val="00D040C9"/>
    <w:rsid w:val="00D0474C"/>
    <w:rsid w:val="00D0531C"/>
    <w:rsid w:val="00D0593C"/>
    <w:rsid w:val="00D05E6D"/>
    <w:rsid w:val="00D06AC5"/>
    <w:rsid w:val="00D11085"/>
    <w:rsid w:val="00D12B21"/>
    <w:rsid w:val="00D15418"/>
    <w:rsid w:val="00D1604F"/>
    <w:rsid w:val="00D2021B"/>
    <w:rsid w:val="00D206DF"/>
    <w:rsid w:val="00D20A9F"/>
    <w:rsid w:val="00D20AC0"/>
    <w:rsid w:val="00D225F2"/>
    <w:rsid w:val="00D2342D"/>
    <w:rsid w:val="00D2534E"/>
    <w:rsid w:val="00D263A2"/>
    <w:rsid w:val="00D271BA"/>
    <w:rsid w:val="00D2785B"/>
    <w:rsid w:val="00D30AD5"/>
    <w:rsid w:val="00D30C01"/>
    <w:rsid w:val="00D32CB4"/>
    <w:rsid w:val="00D34955"/>
    <w:rsid w:val="00D352BD"/>
    <w:rsid w:val="00D35957"/>
    <w:rsid w:val="00D36730"/>
    <w:rsid w:val="00D3761F"/>
    <w:rsid w:val="00D400C4"/>
    <w:rsid w:val="00D40808"/>
    <w:rsid w:val="00D42746"/>
    <w:rsid w:val="00D42EBA"/>
    <w:rsid w:val="00D43FE0"/>
    <w:rsid w:val="00D43FEC"/>
    <w:rsid w:val="00D44675"/>
    <w:rsid w:val="00D45196"/>
    <w:rsid w:val="00D46CCF"/>
    <w:rsid w:val="00D511C7"/>
    <w:rsid w:val="00D53E70"/>
    <w:rsid w:val="00D54E23"/>
    <w:rsid w:val="00D60E03"/>
    <w:rsid w:val="00D60E93"/>
    <w:rsid w:val="00D61D7F"/>
    <w:rsid w:val="00D624EE"/>
    <w:rsid w:val="00D62F5A"/>
    <w:rsid w:val="00D62F68"/>
    <w:rsid w:val="00D63205"/>
    <w:rsid w:val="00D668E2"/>
    <w:rsid w:val="00D67784"/>
    <w:rsid w:val="00D714E4"/>
    <w:rsid w:val="00D7232B"/>
    <w:rsid w:val="00D72891"/>
    <w:rsid w:val="00D732F5"/>
    <w:rsid w:val="00D73C8C"/>
    <w:rsid w:val="00D73FF1"/>
    <w:rsid w:val="00D7670F"/>
    <w:rsid w:val="00D768D1"/>
    <w:rsid w:val="00D76B63"/>
    <w:rsid w:val="00D76D61"/>
    <w:rsid w:val="00D77210"/>
    <w:rsid w:val="00D77FF1"/>
    <w:rsid w:val="00D8450E"/>
    <w:rsid w:val="00D86CB1"/>
    <w:rsid w:val="00D90220"/>
    <w:rsid w:val="00D90B48"/>
    <w:rsid w:val="00D934BD"/>
    <w:rsid w:val="00D93A63"/>
    <w:rsid w:val="00D9604C"/>
    <w:rsid w:val="00DA1E0B"/>
    <w:rsid w:val="00DA3230"/>
    <w:rsid w:val="00DA3B46"/>
    <w:rsid w:val="00DA3E42"/>
    <w:rsid w:val="00DA4057"/>
    <w:rsid w:val="00DA5803"/>
    <w:rsid w:val="00DA5F8A"/>
    <w:rsid w:val="00DA6353"/>
    <w:rsid w:val="00DA70D6"/>
    <w:rsid w:val="00DB08D3"/>
    <w:rsid w:val="00DB133B"/>
    <w:rsid w:val="00DB4A2A"/>
    <w:rsid w:val="00DB5741"/>
    <w:rsid w:val="00DB5C0A"/>
    <w:rsid w:val="00DC1585"/>
    <w:rsid w:val="00DC4588"/>
    <w:rsid w:val="00DC4696"/>
    <w:rsid w:val="00DC5135"/>
    <w:rsid w:val="00DC514B"/>
    <w:rsid w:val="00DC6E7F"/>
    <w:rsid w:val="00DC77DA"/>
    <w:rsid w:val="00DC78A4"/>
    <w:rsid w:val="00DD0010"/>
    <w:rsid w:val="00DD012F"/>
    <w:rsid w:val="00DD0878"/>
    <w:rsid w:val="00DD254C"/>
    <w:rsid w:val="00DD492B"/>
    <w:rsid w:val="00DD5849"/>
    <w:rsid w:val="00DD5F70"/>
    <w:rsid w:val="00DE02AB"/>
    <w:rsid w:val="00DE034F"/>
    <w:rsid w:val="00DE0B34"/>
    <w:rsid w:val="00DE2978"/>
    <w:rsid w:val="00DE3670"/>
    <w:rsid w:val="00DE5E40"/>
    <w:rsid w:val="00DE66C1"/>
    <w:rsid w:val="00DE76D3"/>
    <w:rsid w:val="00DF4AB2"/>
    <w:rsid w:val="00DF6F26"/>
    <w:rsid w:val="00DF7B2F"/>
    <w:rsid w:val="00E00009"/>
    <w:rsid w:val="00E0116B"/>
    <w:rsid w:val="00E06B4F"/>
    <w:rsid w:val="00E06DBA"/>
    <w:rsid w:val="00E06E58"/>
    <w:rsid w:val="00E119F5"/>
    <w:rsid w:val="00E11F96"/>
    <w:rsid w:val="00E1217E"/>
    <w:rsid w:val="00E13D5C"/>
    <w:rsid w:val="00E14567"/>
    <w:rsid w:val="00E15B65"/>
    <w:rsid w:val="00E17E35"/>
    <w:rsid w:val="00E2003E"/>
    <w:rsid w:val="00E2270A"/>
    <w:rsid w:val="00E2415E"/>
    <w:rsid w:val="00E24487"/>
    <w:rsid w:val="00E24EB3"/>
    <w:rsid w:val="00E26468"/>
    <w:rsid w:val="00E27827"/>
    <w:rsid w:val="00E30640"/>
    <w:rsid w:val="00E32ADA"/>
    <w:rsid w:val="00E32F0D"/>
    <w:rsid w:val="00E34935"/>
    <w:rsid w:val="00E35D7E"/>
    <w:rsid w:val="00E368F8"/>
    <w:rsid w:val="00E3790D"/>
    <w:rsid w:val="00E37AB1"/>
    <w:rsid w:val="00E41EE8"/>
    <w:rsid w:val="00E41F81"/>
    <w:rsid w:val="00E430F9"/>
    <w:rsid w:val="00E43D83"/>
    <w:rsid w:val="00E47F99"/>
    <w:rsid w:val="00E51CA1"/>
    <w:rsid w:val="00E54DFE"/>
    <w:rsid w:val="00E56E90"/>
    <w:rsid w:val="00E63306"/>
    <w:rsid w:val="00E63DE6"/>
    <w:rsid w:val="00E6414B"/>
    <w:rsid w:val="00E650FC"/>
    <w:rsid w:val="00E6533B"/>
    <w:rsid w:val="00E65DB9"/>
    <w:rsid w:val="00E66FDF"/>
    <w:rsid w:val="00E6756A"/>
    <w:rsid w:val="00E70375"/>
    <w:rsid w:val="00E70744"/>
    <w:rsid w:val="00E73BC3"/>
    <w:rsid w:val="00E73C2B"/>
    <w:rsid w:val="00E740BD"/>
    <w:rsid w:val="00E80637"/>
    <w:rsid w:val="00E809FB"/>
    <w:rsid w:val="00E81449"/>
    <w:rsid w:val="00E824B1"/>
    <w:rsid w:val="00E82663"/>
    <w:rsid w:val="00E826B7"/>
    <w:rsid w:val="00E93EDC"/>
    <w:rsid w:val="00E945A5"/>
    <w:rsid w:val="00E94875"/>
    <w:rsid w:val="00E94DFC"/>
    <w:rsid w:val="00E95841"/>
    <w:rsid w:val="00E97000"/>
    <w:rsid w:val="00E97006"/>
    <w:rsid w:val="00EA04CB"/>
    <w:rsid w:val="00EA05FB"/>
    <w:rsid w:val="00EA0AFE"/>
    <w:rsid w:val="00EA0D45"/>
    <w:rsid w:val="00EA1AB3"/>
    <w:rsid w:val="00EA3A69"/>
    <w:rsid w:val="00EA4CB0"/>
    <w:rsid w:val="00EA51DD"/>
    <w:rsid w:val="00EA7E44"/>
    <w:rsid w:val="00EB181C"/>
    <w:rsid w:val="00EB2FA9"/>
    <w:rsid w:val="00EB3A0E"/>
    <w:rsid w:val="00EB4853"/>
    <w:rsid w:val="00EB5EF4"/>
    <w:rsid w:val="00EB6234"/>
    <w:rsid w:val="00EB66AC"/>
    <w:rsid w:val="00EB6ECD"/>
    <w:rsid w:val="00EC309A"/>
    <w:rsid w:val="00ED0D27"/>
    <w:rsid w:val="00ED18C4"/>
    <w:rsid w:val="00ED34B2"/>
    <w:rsid w:val="00ED5635"/>
    <w:rsid w:val="00ED5EF1"/>
    <w:rsid w:val="00ED7B8F"/>
    <w:rsid w:val="00ED7D09"/>
    <w:rsid w:val="00EE1CC4"/>
    <w:rsid w:val="00EE2809"/>
    <w:rsid w:val="00EE40CA"/>
    <w:rsid w:val="00EE41F8"/>
    <w:rsid w:val="00EE44AE"/>
    <w:rsid w:val="00EE4C3B"/>
    <w:rsid w:val="00EE56BD"/>
    <w:rsid w:val="00EE67DF"/>
    <w:rsid w:val="00EE71E9"/>
    <w:rsid w:val="00EE7593"/>
    <w:rsid w:val="00EF03B6"/>
    <w:rsid w:val="00EF12A2"/>
    <w:rsid w:val="00EF1BB3"/>
    <w:rsid w:val="00EF278B"/>
    <w:rsid w:val="00EF38DB"/>
    <w:rsid w:val="00EF6925"/>
    <w:rsid w:val="00F017F4"/>
    <w:rsid w:val="00F0393A"/>
    <w:rsid w:val="00F04571"/>
    <w:rsid w:val="00F04758"/>
    <w:rsid w:val="00F04CB5"/>
    <w:rsid w:val="00F07998"/>
    <w:rsid w:val="00F141DD"/>
    <w:rsid w:val="00F15A9D"/>
    <w:rsid w:val="00F15E98"/>
    <w:rsid w:val="00F163CC"/>
    <w:rsid w:val="00F2009D"/>
    <w:rsid w:val="00F215A2"/>
    <w:rsid w:val="00F2303B"/>
    <w:rsid w:val="00F2346B"/>
    <w:rsid w:val="00F23548"/>
    <w:rsid w:val="00F24042"/>
    <w:rsid w:val="00F253EB"/>
    <w:rsid w:val="00F261FD"/>
    <w:rsid w:val="00F26BF2"/>
    <w:rsid w:val="00F30A3E"/>
    <w:rsid w:val="00F31CE2"/>
    <w:rsid w:val="00F3208C"/>
    <w:rsid w:val="00F32664"/>
    <w:rsid w:val="00F37F9A"/>
    <w:rsid w:val="00F40BF4"/>
    <w:rsid w:val="00F41A47"/>
    <w:rsid w:val="00F41FA6"/>
    <w:rsid w:val="00F421C6"/>
    <w:rsid w:val="00F429A8"/>
    <w:rsid w:val="00F42D44"/>
    <w:rsid w:val="00F445D7"/>
    <w:rsid w:val="00F44709"/>
    <w:rsid w:val="00F447C3"/>
    <w:rsid w:val="00F47093"/>
    <w:rsid w:val="00F51013"/>
    <w:rsid w:val="00F51339"/>
    <w:rsid w:val="00F55344"/>
    <w:rsid w:val="00F5595F"/>
    <w:rsid w:val="00F60601"/>
    <w:rsid w:val="00F65579"/>
    <w:rsid w:val="00F65A58"/>
    <w:rsid w:val="00F65E76"/>
    <w:rsid w:val="00F714F5"/>
    <w:rsid w:val="00F71ACF"/>
    <w:rsid w:val="00F73E2E"/>
    <w:rsid w:val="00F747F9"/>
    <w:rsid w:val="00F74EEF"/>
    <w:rsid w:val="00F7756E"/>
    <w:rsid w:val="00F803F3"/>
    <w:rsid w:val="00F81856"/>
    <w:rsid w:val="00F81CBE"/>
    <w:rsid w:val="00F81E89"/>
    <w:rsid w:val="00F84473"/>
    <w:rsid w:val="00F8510B"/>
    <w:rsid w:val="00F9071C"/>
    <w:rsid w:val="00F91683"/>
    <w:rsid w:val="00F92A98"/>
    <w:rsid w:val="00F93872"/>
    <w:rsid w:val="00F944FB"/>
    <w:rsid w:val="00F94AAA"/>
    <w:rsid w:val="00F966BE"/>
    <w:rsid w:val="00F976A4"/>
    <w:rsid w:val="00F97C2D"/>
    <w:rsid w:val="00FA0453"/>
    <w:rsid w:val="00FA3F27"/>
    <w:rsid w:val="00FA6343"/>
    <w:rsid w:val="00FA773B"/>
    <w:rsid w:val="00FA7F31"/>
    <w:rsid w:val="00FB09A4"/>
    <w:rsid w:val="00FB17C4"/>
    <w:rsid w:val="00FB2F1F"/>
    <w:rsid w:val="00FB2F91"/>
    <w:rsid w:val="00FB304C"/>
    <w:rsid w:val="00FB35CB"/>
    <w:rsid w:val="00FB3E80"/>
    <w:rsid w:val="00FB5B22"/>
    <w:rsid w:val="00FB6BB5"/>
    <w:rsid w:val="00FC00AE"/>
    <w:rsid w:val="00FC0A89"/>
    <w:rsid w:val="00FC1752"/>
    <w:rsid w:val="00FC25CD"/>
    <w:rsid w:val="00FC28F8"/>
    <w:rsid w:val="00FC2D43"/>
    <w:rsid w:val="00FC5965"/>
    <w:rsid w:val="00FC5DEE"/>
    <w:rsid w:val="00FC60F5"/>
    <w:rsid w:val="00FC6A1D"/>
    <w:rsid w:val="00FC6B7C"/>
    <w:rsid w:val="00FD005E"/>
    <w:rsid w:val="00FD0214"/>
    <w:rsid w:val="00FD1DAD"/>
    <w:rsid w:val="00FD2004"/>
    <w:rsid w:val="00FD3935"/>
    <w:rsid w:val="00FD5A92"/>
    <w:rsid w:val="00FD6E70"/>
    <w:rsid w:val="00FE0B4D"/>
    <w:rsid w:val="00FE0D53"/>
    <w:rsid w:val="00FE37FE"/>
    <w:rsid w:val="00FE4334"/>
    <w:rsid w:val="00FE54C4"/>
    <w:rsid w:val="00FE6931"/>
    <w:rsid w:val="00FE6BC3"/>
    <w:rsid w:val="00FF2D42"/>
    <w:rsid w:val="00FF6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C8D"/>
    <w:rPr>
      <w:rFonts w:ascii="Arial" w:hAnsi="Arial" w:cs="Arial"/>
      <w:color w:val="000000"/>
    </w:rPr>
  </w:style>
  <w:style w:type="paragraph" w:styleId="Heading1">
    <w:name w:val="heading 1"/>
    <w:basedOn w:val="Normal"/>
    <w:next w:val="Normal"/>
    <w:qFormat/>
    <w:rsid w:val="00CA0C8D"/>
    <w:pPr>
      <w:keepNext/>
      <w:spacing w:before="240" w:after="60"/>
      <w:outlineLvl w:val="0"/>
    </w:pPr>
    <w:rPr>
      <w:b/>
      <w:bCs/>
      <w:kern w:val="32"/>
      <w:sz w:val="32"/>
      <w:szCs w:val="32"/>
    </w:rPr>
  </w:style>
  <w:style w:type="paragraph" w:styleId="Heading3">
    <w:name w:val="heading 3"/>
    <w:basedOn w:val="Normal"/>
    <w:next w:val="Normal"/>
    <w:qFormat/>
    <w:rsid w:val="00CA0C8D"/>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A3E10"/>
    <w:rPr>
      <w:rFonts w:ascii="Tahoma" w:hAnsi="Tahoma" w:cs="Tahoma"/>
      <w:sz w:val="16"/>
      <w:szCs w:val="16"/>
    </w:rPr>
  </w:style>
  <w:style w:type="character" w:customStyle="1" w:styleId="BalloonTextChar">
    <w:name w:val="Balloon Text Char"/>
    <w:link w:val="BalloonText"/>
    <w:rsid w:val="005A3E10"/>
    <w:rPr>
      <w:rFonts w:ascii="Tahoma" w:hAnsi="Tahoma" w:cs="Tahoma"/>
      <w:color w:val="000000"/>
      <w:sz w:val="16"/>
      <w:szCs w:val="16"/>
    </w:rPr>
  </w:style>
  <w:style w:type="character" w:styleId="CommentReference">
    <w:name w:val="annotation reference"/>
    <w:rsid w:val="005A3E10"/>
    <w:rPr>
      <w:sz w:val="16"/>
      <w:szCs w:val="16"/>
    </w:rPr>
  </w:style>
  <w:style w:type="paragraph" w:styleId="CommentText">
    <w:name w:val="annotation text"/>
    <w:basedOn w:val="Normal"/>
    <w:link w:val="CommentTextChar"/>
    <w:rsid w:val="005A3E10"/>
  </w:style>
  <w:style w:type="character" w:customStyle="1" w:styleId="CommentTextChar">
    <w:name w:val="Comment Text Char"/>
    <w:link w:val="CommentText"/>
    <w:rsid w:val="005A3E10"/>
    <w:rPr>
      <w:rFonts w:ascii="Arial" w:hAnsi="Arial" w:cs="Arial"/>
      <w:color w:val="000000"/>
    </w:rPr>
  </w:style>
  <w:style w:type="paragraph" w:styleId="CommentSubject">
    <w:name w:val="annotation subject"/>
    <w:basedOn w:val="CommentText"/>
    <w:next w:val="CommentText"/>
    <w:link w:val="CommentSubjectChar"/>
    <w:rsid w:val="005A3E10"/>
    <w:rPr>
      <w:b/>
      <w:bCs/>
    </w:rPr>
  </w:style>
  <w:style w:type="character" w:customStyle="1" w:styleId="CommentSubjectChar">
    <w:name w:val="Comment Subject Char"/>
    <w:link w:val="CommentSubject"/>
    <w:rsid w:val="005A3E10"/>
    <w:rPr>
      <w:rFonts w:ascii="Arial" w:hAnsi="Arial" w:cs="Arial"/>
      <w:b/>
      <w:bCs/>
      <w:color w:val="000000"/>
    </w:rPr>
  </w:style>
  <w:style w:type="character" w:styleId="Strong">
    <w:name w:val="Strong"/>
    <w:uiPriority w:val="22"/>
    <w:qFormat/>
    <w:rsid w:val="00706C0B"/>
    <w:rPr>
      <w:b/>
      <w:bCs/>
    </w:rPr>
  </w:style>
  <w:style w:type="character" w:styleId="Hyperlink">
    <w:name w:val="Hyperlink"/>
    <w:rsid w:val="00706C0B"/>
    <w:rPr>
      <w:color w:val="0000FF"/>
      <w:u w:val="single"/>
    </w:rPr>
  </w:style>
  <w:style w:type="character" w:styleId="FollowedHyperlink">
    <w:name w:val="FollowedHyperlink"/>
    <w:basedOn w:val="DefaultParagraphFont"/>
    <w:rsid w:val="00706C0B"/>
    <w:rPr>
      <w:color w:val="800080"/>
      <w:u w:val="single"/>
    </w:rPr>
  </w:style>
  <w:style w:type="paragraph" w:styleId="NormalWeb">
    <w:name w:val="Normal (Web)"/>
    <w:basedOn w:val="Normal"/>
    <w:uiPriority w:val="99"/>
    <w:unhideWhenUsed/>
    <w:rsid w:val="009B4C42"/>
    <w:pPr>
      <w:spacing w:before="240" w:after="240"/>
    </w:pPr>
    <w:rPr>
      <w:rFonts w:ascii="Times New Roman" w:hAnsi="Times New Roman" w:cs="Times New Roman"/>
      <w:color w:val="auto"/>
      <w:sz w:val="24"/>
      <w:szCs w:val="24"/>
    </w:rPr>
  </w:style>
  <w:style w:type="character" w:customStyle="1" w:styleId="header1">
    <w:name w:val="header1"/>
    <w:basedOn w:val="DefaultParagraphFont"/>
    <w:rsid w:val="009B4C42"/>
    <w:rPr>
      <w:b/>
      <w:bCs/>
    </w:rPr>
  </w:style>
  <w:style w:type="paragraph" w:styleId="ListParagraph">
    <w:name w:val="List Paragraph"/>
    <w:basedOn w:val="Normal"/>
    <w:uiPriority w:val="34"/>
    <w:qFormat/>
    <w:rsid w:val="00E703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C8D"/>
    <w:rPr>
      <w:rFonts w:ascii="Arial" w:hAnsi="Arial" w:cs="Arial"/>
      <w:color w:val="000000"/>
    </w:rPr>
  </w:style>
  <w:style w:type="paragraph" w:styleId="Heading1">
    <w:name w:val="heading 1"/>
    <w:basedOn w:val="Normal"/>
    <w:next w:val="Normal"/>
    <w:qFormat/>
    <w:rsid w:val="00CA0C8D"/>
    <w:pPr>
      <w:keepNext/>
      <w:spacing w:before="240" w:after="60"/>
      <w:outlineLvl w:val="0"/>
    </w:pPr>
    <w:rPr>
      <w:b/>
      <w:bCs/>
      <w:kern w:val="32"/>
      <w:sz w:val="32"/>
      <w:szCs w:val="32"/>
    </w:rPr>
  </w:style>
  <w:style w:type="paragraph" w:styleId="Heading3">
    <w:name w:val="heading 3"/>
    <w:basedOn w:val="Normal"/>
    <w:next w:val="Normal"/>
    <w:qFormat/>
    <w:rsid w:val="00CA0C8D"/>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A3E10"/>
    <w:rPr>
      <w:rFonts w:ascii="Tahoma" w:hAnsi="Tahoma" w:cs="Tahoma"/>
      <w:sz w:val="16"/>
      <w:szCs w:val="16"/>
    </w:rPr>
  </w:style>
  <w:style w:type="character" w:customStyle="1" w:styleId="BalloonTextChar">
    <w:name w:val="Balloon Text Char"/>
    <w:link w:val="BalloonText"/>
    <w:rsid w:val="005A3E10"/>
    <w:rPr>
      <w:rFonts w:ascii="Tahoma" w:hAnsi="Tahoma" w:cs="Tahoma"/>
      <w:color w:val="000000"/>
      <w:sz w:val="16"/>
      <w:szCs w:val="16"/>
    </w:rPr>
  </w:style>
  <w:style w:type="character" w:styleId="CommentReference">
    <w:name w:val="annotation reference"/>
    <w:rsid w:val="005A3E10"/>
    <w:rPr>
      <w:sz w:val="16"/>
      <w:szCs w:val="16"/>
    </w:rPr>
  </w:style>
  <w:style w:type="paragraph" w:styleId="CommentText">
    <w:name w:val="annotation text"/>
    <w:basedOn w:val="Normal"/>
    <w:link w:val="CommentTextChar"/>
    <w:rsid w:val="005A3E10"/>
  </w:style>
  <w:style w:type="character" w:customStyle="1" w:styleId="CommentTextChar">
    <w:name w:val="Comment Text Char"/>
    <w:link w:val="CommentText"/>
    <w:rsid w:val="005A3E10"/>
    <w:rPr>
      <w:rFonts w:ascii="Arial" w:hAnsi="Arial" w:cs="Arial"/>
      <w:color w:val="000000"/>
    </w:rPr>
  </w:style>
  <w:style w:type="paragraph" w:styleId="CommentSubject">
    <w:name w:val="annotation subject"/>
    <w:basedOn w:val="CommentText"/>
    <w:next w:val="CommentText"/>
    <w:link w:val="CommentSubjectChar"/>
    <w:rsid w:val="005A3E10"/>
    <w:rPr>
      <w:b/>
      <w:bCs/>
    </w:rPr>
  </w:style>
  <w:style w:type="character" w:customStyle="1" w:styleId="CommentSubjectChar">
    <w:name w:val="Comment Subject Char"/>
    <w:link w:val="CommentSubject"/>
    <w:rsid w:val="005A3E10"/>
    <w:rPr>
      <w:rFonts w:ascii="Arial" w:hAnsi="Arial" w:cs="Arial"/>
      <w:b/>
      <w:bCs/>
      <w:color w:val="000000"/>
    </w:rPr>
  </w:style>
  <w:style w:type="character" w:styleId="Strong">
    <w:name w:val="Strong"/>
    <w:uiPriority w:val="22"/>
    <w:qFormat/>
    <w:rsid w:val="00706C0B"/>
    <w:rPr>
      <w:b/>
      <w:bCs/>
    </w:rPr>
  </w:style>
  <w:style w:type="character" w:styleId="Hyperlink">
    <w:name w:val="Hyperlink"/>
    <w:rsid w:val="00706C0B"/>
    <w:rPr>
      <w:color w:val="0000FF"/>
      <w:u w:val="single"/>
    </w:rPr>
  </w:style>
  <w:style w:type="character" w:styleId="FollowedHyperlink">
    <w:name w:val="FollowedHyperlink"/>
    <w:basedOn w:val="DefaultParagraphFont"/>
    <w:rsid w:val="00706C0B"/>
    <w:rPr>
      <w:color w:val="800080"/>
      <w:u w:val="single"/>
    </w:rPr>
  </w:style>
  <w:style w:type="paragraph" w:styleId="NormalWeb">
    <w:name w:val="Normal (Web)"/>
    <w:basedOn w:val="Normal"/>
    <w:uiPriority w:val="99"/>
    <w:unhideWhenUsed/>
    <w:rsid w:val="009B4C42"/>
    <w:pPr>
      <w:spacing w:before="240" w:after="240"/>
    </w:pPr>
    <w:rPr>
      <w:rFonts w:ascii="Times New Roman" w:hAnsi="Times New Roman" w:cs="Times New Roman"/>
      <w:color w:val="auto"/>
      <w:sz w:val="24"/>
      <w:szCs w:val="24"/>
    </w:rPr>
  </w:style>
  <w:style w:type="character" w:customStyle="1" w:styleId="header1">
    <w:name w:val="header1"/>
    <w:basedOn w:val="DefaultParagraphFont"/>
    <w:rsid w:val="009B4C42"/>
    <w:rPr>
      <w:b/>
      <w:bCs/>
    </w:rPr>
  </w:style>
  <w:style w:type="paragraph" w:styleId="ListParagraph">
    <w:name w:val="List Paragraph"/>
    <w:basedOn w:val="Normal"/>
    <w:uiPriority w:val="34"/>
    <w:qFormat/>
    <w:rsid w:val="00E70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1421">
      <w:bodyDiv w:val="1"/>
      <w:marLeft w:val="0"/>
      <w:marRight w:val="0"/>
      <w:marTop w:val="0"/>
      <w:marBottom w:val="0"/>
      <w:divBdr>
        <w:top w:val="none" w:sz="0" w:space="0" w:color="auto"/>
        <w:left w:val="none" w:sz="0" w:space="0" w:color="auto"/>
        <w:bottom w:val="none" w:sz="0" w:space="0" w:color="auto"/>
        <w:right w:val="none" w:sz="0" w:space="0" w:color="auto"/>
      </w:divBdr>
      <w:divsChild>
        <w:div w:id="693580537">
          <w:marLeft w:val="0"/>
          <w:marRight w:val="0"/>
          <w:marTop w:val="0"/>
          <w:marBottom w:val="0"/>
          <w:divBdr>
            <w:top w:val="none" w:sz="0" w:space="0" w:color="auto"/>
            <w:left w:val="none" w:sz="0" w:space="0" w:color="auto"/>
            <w:bottom w:val="none" w:sz="0" w:space="0" w:color="auto"/>
            <w:right w:val="none" w:sz="0" w:space="0" w:color="auto"/>
          </w:divBdr>
          <w:divsChild>
            <w:div w:id="536819797">
              <w:marLeft w:val="0"/>
              <w:marRight w:val="0"/>
              <w:marTop w:val="0"/>
              <w:marBottom w:val="0"/>
              <w:divBdr>
                <w:top w:val="none" w:sz="0" w:space="0" w:color="auto"/>
                <w:left w:val="none" w:sz="0" w:space="0" w:color="auto"/>
                <w:bottom w:val="none" w:sz="0" w:space="0" w:color="auto"/>
                <w:right w:val="none" w:sz="0" w:space="0" w:color="auto"/>
              </w:divBdr>
              <w:divsChild>
                <w:div w:id="8043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12544">
      <w:bodyDiv w:val="1"/>
      <w:marLeft w:val="0"/>
      <w:marRight w:val="0"/>
      <w:marTop w:val="0"/>
      <w:marBottom w:val="0"/>
      <w:divBdr>
        <w:top w:val="none" w:sz="0" w:space="0" w:color="auto"/>
        <w:left w:val="none" w:sz="0" w:space="0" w:color="auto"/>
        <w:bottom w:val="none" w:sz="0" w:space="0" w:color="auto"/>
        <w:right w:val="none" w:sz="0" w:space="0" w:color="auto"/>
      </w:divBdr>
      <w:divsChild>
        <w:div w:id="2013795584">
          <w:marLeft w:val="0"/>
          <w:marRight w:val="0"/>
          <w:marTop w:val="0"/>
          <w:marBottom w:val="0"/>
          <w:divBdr>
            <w:top w:val="none" w:sz="0" w:space="0" w:color="auto"/>
            <w:left w:val="none" w:sz="0" w:space="0" w:color="auto"/>
            <w:bottom w:val="none" w:sz="0" w:space="0" w:color="auto"/>
            <w:right w:val="none" w:sz="0" w:space="0" w:color="auto"/>
          </w:divBdr>
          <w:divsChild>
            <w:div w:id="585070030">
              <w:marLeft w:val="0"/>
              <w:marRight w:val="0"/>
              <w:marTop w:val="0"/>
              <w:marBottom w:val="0"/>
              <w:divBdr>
                <w:top w:val="none" w:sz="0" w:space="0" w:color="auto"/>
                <w:left w:val="none" w:sz="0" w:space="0" w:color="auto"/>
                <w:bottom w:val="none" w:sz="0" w:space="0" w:color="auto"/>
                <w:right w:val="none" w:sz="0" w:space="0" w:color="auto"/>
              </w:divBdr>
              <w:divsChild>
                <w:div w:id="21066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77335">
      <w:bodyDiv w:val="1"/>
      <w:marLeft w:val="0"/>
      <w:marRight w:val="0"/>
      <w:marTop w:val="0"/>
      <w:marBottom w:val="0"/>
      <w:divBdr>
        <w:top w:val="none" w:sz="0" w:space="0" w:color="auto"/>
        <w:left w:val="none" w:sz="0" w:space="0" w:color="auto"/>
        <w:bottom w:val="none" w:sz="0" w:space="0" w:color="auto"/>
        <w:right w:val="none" w:sz="0" w:space="0" w:color="auto"/>
      </w:divBdr>
      <w:divsChild>
        <w:div w:id="1965846620">
          <w:marLeft w:val="0"/>
          <w:marRight w:val="0"/>
          <w:marTop w:val="0"/>
          <w:marBottom w:val="0"/>
          <w:divBdr>
            <w:top w:val="none" w:sz="0" w:space="0" w:color="auto"/>
            <w:left w:val="none" w:sz="0" w:space="0" w:color="auto"/>
            <w:bottom w:val="none" w:sz="0" w:space="0" w:color="auto"/>
            <w:right w:val="none" w:sz="0" w:space="0" w:color="auto"/>
          </w:divBdr>
          <w:divsChild>
            <w:div w:id="405148549">
              <w:marLeft w:val="0"/>
              <w:marRight w:val="0"/>
              <w:marTop w:val="0"/>
              <w:marBottom w:val="0"/>
              <w:divBdr>
                <w:top w:val="none" w:sz="0" w:space="0" w:color="auto"/>
                <w:left w:val="none" w:sz="0" w:space="0" w:color="auto"/>
                <w:bottom w:val="none" w:sz="0" w:space="0" w:color="auto"/>
                <w:right w:val="none" w:sz="0" w:space="0" w:color="auto"/>
              </w:divBdr>
              <w:divsChild>
                <w:div w:id="20520676">
                  <w:marLeft w:val="0"/>
                  <w:marRight w:val="0"/>
                  <w:marTop w:val="0"/>
                  <w:marBottom w:val="0"/>
                  <w:divBdr>
                    <w:top w:val="none" w:sz="0" w:space="0" w:color="auto"/>
                    <w:left w:val="none" w:sz="0" w:space="0" w:color="auto"/>
                    <w:bottom w:val="none" w:sz="0" w:space="0" w:color="auto"/>
                    <w:right w:val="none" w:sz="0" w:space="0" w:color="auto"/>
                  </w:divBdr>
                  <w:divsChild>
                    <w:div w:id="40055475">
                      <w:marLeft w:val="0"/>
                      <w:marRight w:val="0"/>
                      <w:marTop w:val="0"/>
                      <w:marBottom w:val="0"/>
                      <w:divBdr>
                        <w:top w:val="none" w:sz="0" w:space="0" w:color="auto"/>
                        <w:left w:val="none" w:sz="0" w:space="0" w:color="auto"/>
                        <w:bottom w:val="none" w:sz="0" w:space="0" w:color="auto"/>
                        <w:right w:val="none" w:sz="0" w:space="0" w:color="auto"/>
                      </w:divBdr>
                      <w:divsChild>
                        <w:div w:id="85346966">
                          <w:marLeft w:val="0"/>
                          <w:marRight w:val="0"/>
                          <w:marTop w:val="0"/>
                          <w:marBottom w:val="0"/>
                          <w:divBdr>
                            <w:top w:val="none" w:sz="0" w:space="0" w:color="auto"/>
                            <w:left w:val="none" w:sz="0" w:space="0" w:color="auto"/>
                            <w:bottom w:val="none" w:sz="0" w:space="0" w:color="auto"/>
                            <w:right w:val="none" w:sz="0" w:space="0" w:color="auto"/>
                          </w:divBdr>
                          <w:divsChild>
                            <w:div w:id="1562326794">
                              <w:marLeft w:val="0"/>
                              <w:marRight w:val="0"/>
                              <w:marTop w:val="0"/>
                              <w:marBottom w:val="0"/>
                              <w:divBdr>
                                <w:top w:val="none" w:sz="0" w:space="0" w:color="auto"/>
                                <w:left w:val="none" w:sz="0" w:space="0" w:color="auto"/>
                                <w:bottom w:val="none" w:sz="0" w:space="0" w:color="auto"/>
                                <w:right w:val="none" w:sz="0" w:space="0" w:color="auto"/>
                              </w:divBdr>
                              <w:divsChild>
                                <w:div w:id="147209783">
                                  <w:marLeft w:val="0"/>
                                  <w:marRight w:val="0"/>
                                  <w:marTop w:val="0"/>
                                  <w:marBottom w:val="0"/>
                                  <w:divBdr>
                                    <w:top w:val="none" w:sz="0" w:space="0" w:color="auto"/>
                                    <w:left w:val="none" w:sz="0" w:space="0" w:color="auto"/>
                                    <w:bottom w:val="none" w:sz="0" w:space="0" w:color="auto"/>
                                    <w:right w:val="none" w:sz="0" w:space="0" w:color="auto"/>
                                  </w:divBdr>
                                  <w:divsChild>
                                    <w:div w:id="1428110270">
                                      <w:marLeft w:val="0"/>
                                      <w:marRight w:val="0"/>
                                      <w:marTop w:val="0"/>
                                      <w:marBottom w:val="0"/>
                                      <w:divBdr>
                                        <w:top w:val="none" w:sz="0" w:space="0" w:color="auto"/>
                                        <w:left w:val="none" w:sz="0" w:space="0" w:color="auto"/>
                                        <w:bottom w:val="none" w:sz="0" w:space="0" w:color="auto"/>
                                        <w:right w:val="none" w:sz="0" w:space="0" w:color="auto"/>
                                      </w:divBdr>
                                      <w:divsChild>
                                        <w:div w:id="1407651820">
                                          <w:marLeft w:val="0"/>
                                          <w:marRight w:val="0"/>
                                          <w:marTop w:val="0"/>
                                          <w:marBottom w:val="0"/>
                                          <w:divBdr>
                                            <w:top w:val="none" w:sz="0" w:space="0" w:color="auto"/>
                                            <w:left w:val="single" w:sz="6" w:space="0" w:color="999999"/>
                                            <w:bottom w:val="none" w:sz="0" w:space="0" w:color="auto"/>
                                            <w:right w:val="none" w:sz="0" w:space="0" w:color="auto"/>
                                          </w:divBdr>
                                          <w:divsChild>
                                            <w:div w:id="1997294316">
                                              <w:marLeft w:val="0"/>
                                              <w:marRight w:val="0"/>
                                              <w:marTop w:val="150"/>
                                              <w:marBottom w:val="150"/>
                                              <w:divBdr>
                                                <w:top w:val="none" w:sz="0" w:space="0" w:color="auto"/>
                                                <w:left w:val="none" w:sz="0" w:space="0" w:color="auto"/>
                                                <w:bottom w:val="none" w:sz="0" w:space="0" w:color="auto"/>
                                                <w:right w:val="none" w:sz="0" w:space="0" w:color="auto"/>
                                              </w:divBdr>
                                              <w:divsChild>
                                                <w:div w:id="843200989">
                                                  <w:marLeft w:val="0"/>
                                                  <w:marRight w:val="0"/>
                                                  <w:marTop w:val="0"/>
                                                  <w:marBottom w:val="0"/>
                                                  <w:divBdr>
                                                    <w:top w:val="none" w:sz="0" w:space="0" w:color="auto"/>
                                                    <w:left w:val="none" w:sz="0" w:space="0" w:color="auto"/>
                                                    <w:bottom w:val="none" w:sz="0" w:space="0" w:color="auto"/>
                                                    <w:right w:val="none" w:sz="0" w:space="0" w:color="auto"/>
                                                  </w:divBdr>
                                                  <w:divsChild>
                                                    <w:div w:id="14469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682846">
      <w:bodyDiv w:val="1"/>
      <w:marLeft w:val="0"/>
      <w:marRight w:val="0"/>
      <w:marTop w:val="0"/>
      <w:marBottom w:val="0"/>
      <w:divBdr>
        <w:top w:val="none" w:sz="0" w:space="0" w:color="auto"/>
        <w:left w:val="none" w:sz="0" w:space="0" w:color="auto"/>
        <w:bottom w:val="none" w:sz="0" w:space="0" w:color="auto"/>
        <w:right w:val="none" w:sz="0" w:space="0" w:color="auto"/>
      </w:divBdr>
      <w:divsChild>
        <w:div w:id="1454710928">
          <w:marLeft w:val="0"/>
          <w:marRight w:val="0"/>
          <w:marTop w:val="0"/>
          <w:marBottom w:val="0"/>
          <w:divBdr>
            <w:top w:val="none" w:sz="0" w:space="0" w:color="auto"/>
            <w:left w:val="none" w:sz="0" w:space="0" w:color="auto"/>
            <w:bottom w:val="none" w:sz="0" w:space="0" w:color="auto"/>
            <w:right w:val="none" w:sz="0" w:space="0" w:color="auto"/>
          </w:divBdr>
          <w:divsChild>
            <w:div w:id="240916854">
              <w:marLeft w:val="0"/>
              <w:marRight w:val="0"/>
              <w:marTop w:val="0"/>
              <w:marBottom w:val="0"/>
              <w:divBdr>
                <w:top w:val="none" w:sz="0" w:space="0" w:color="auto"/>
                <w:left w:val="none" w:sz="0" w:space="0" w:color="auto"/>
                <w:bottom w:val="none" w:sz="0" w:space="0" w:color="auto"/>
                <w:right w:val="none" w:sz="0" w:space="0" w:color="auto"/>
              </w:divBdr>
              <w:divsChild>
                <w:div w:id="11565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20015">
      <w:bodyDiv w:val="1"/>
      <w:marLeft w:val="0"/>
      <w:marRight w:val="0"/>
      <w:marTop w:val="0"/>
      <w:marBottom w:val="0"/>
      <w:divBdr>
        <w:top w:val="none" w:sz="0" w:space="0" w:color="auto"/>
        <w:left w:val="none" w:sz="0" w:space="0" w:color="auto"/>
        <w:bottom w:val="none" w:sz="0" w:space="0" w:color="auto"/>
        <w:right w:val="none" w:sz="0" w:space="0" w:color="auto"/>
      </w:divBdr>
      <w:divsChild>
        <w:div w:id="1029068724">
          <w:marLeft w:val="0"/>
          <w:marRight w:val="0"/>
          <w:marTop w:val="0"/>
          <w:marBottom w:val="0"/>
          <w:divBdr>
            <w:top w:val="none" w:sz="0" w:space="0" w:color="auto"/>
            <w:left w:val="none" w:sz="0" w:space="0" w:color="auto"/>
            <w:bottom w:val="none" w:sz="0" w:space="0" w:color="auto"/>
            <w:right w:val="none" w:sz="0" w:space="0" w:color="auto"/>
          </w:divBdr>
          <w:divsChild>
            <w:div w:id="1218320951">
              <w:marLeft w:val="0"/>
              <w:marRight w:val="0"/>
              <w:marTop w:val="0"/>
              <w:marBottom w:val="0"/>
              <w:divBdr>
                <w:top w:val="none" w:sz="0" w:space="0" w:color="auto"/>
                <w:left w:val="none" w:sz="0" w:space="0" w:color="auto"/>
                <w:bottom w:val="none" w:sz="0" w:space="0" w:color="auto"/>
                <w:right w:val="none" w:sz="0" w:space="0" w:color="auto"/>
              </w:divBdr>
              <w:divsChild>
                <w:div w:id="1428504349">
                  <w:marLeft w:val="0"/>
                  <w:marRight w:val="0"/>
                  <w:marTop w:val="0"/>
                  <w:marBottom w:val="0"/>
                  <w:divBdr>
                    <w:top w:val="none" w:sz="0" w:space="0" w:color="auto"/>
                    <w:left w:val="none" w:sz="0" w:space="0" w:color="auto"/>
                    <w:bottom w:val="none" w:sz="0" w:space="0" w:color="auto"/>
                    <w:right w:val="none" w:sz="0" w:space="0" w:color="auto"/>
                  </w:divBdr>
                  <w:divsChild>
                    <w:div w:id="796459377">
                      <w:marLeft w:val="0"/>
                      <w:marRight w:val="0"/>
                      <w:marTop w:val="0"/>
                      <w:marBottom w:val="0"/>
                      <w:divBdr>
                        <w:top w:val="none" w:sz="0" w:space="0" w:color="auto"/>
                        <w:left w:val="none" w:sz="0" w:space="0" w:color="auto"/>
                        <w:bottom w:val="none" w:sz="0" w:space="0" w:color="auto"/>
                        <w:right w:val="none" w:sz="0" w:space="0" w:color="auto"/>
                      </w:divBdr>
                      <w:divsChild>
                        <w:div w:id="1679112914">
                          <w:marLeft w:val="0"/>
                          <w:marRight w:val="0"/>
                          <w:marTop w:val="0"/>
                          <w:marBottom w:val="0"/>
                          <w:divBdr>
                            <w:top w:val="none" w:sz="0" w:space="0" w:color="auto"/>
                            <w:left w:val="none" w:sz="0" w:space="0" w:color="auto"/>
                            <w:bottom w:val="none" w:sz="0" w:space="0" w:color="auto"/>
                            <w:right w:val="none" w:sz="0" w:space="0" w:color="auto"/>
                          </w:divBdr>
                          <w:divsChild>
                            <w:div w:id="694385965">
                              <w:marLeft w:val="0"/>
                              <w:marRight w:val="0"/>
                              <w:marTop w:val="0"/>
                              <w:marBottom w:val="0"/>
                              <w:divBdr>
                                <w:top w:val="none" w:sz="0" w:space="0" w:color="auto"/>
                                <w:left w:val="none" w:sz="0" w:space="0" w:color="auto"/>
                                <w:bottom w:val="none" w:sz="0" w:space="0" w:color="auto"/>
                                <w:right w:val="none" w:sz="0" w:space="0" w:color="auto"/>
                              </w:divBdr>
                              <w:divsChild>
                                <w:div w:id="41056048">
                                  <w:marLeft w:val="0"/>
                                  <w:marRight w:val="0"/>
                                  <w:marTop w:val="0"/>
                                  <w:marBottom w:val="0"/>
                                  <w:divBdr>
                                    <w:top w:val="none" w:sz="0" w:space="0" w:color="auto"/>
                                    <w:left w:val="none" w:sz="0" w:space="0" w:color="auto"/>
                                    <w:bottom w:val="none" w:sz="0" w:space="0" w:color="auto"/>
                                    <w:right w:val="none" w:sz="0" w:space="0" w:color="auto"/>
                                  </w:divBdr>
                                  <w:divsChild>
                                    <w:div w:id="489055546">
                                      <w:marLeft w:val="0"/>
                                      <w:marRight w:val="0"/>
                                      <w:marTop w:val="0"/>
                                      <w:marBottom w:val="0"/>
                                      <w:divBdr>
                                        <w:top w:val="none" w:sz="0" w:space="0" w:color="auto"/>
                                        <w:left w:val="none" w:sz="0" w:space="0" w:color="auto"/>
                                        <w:bottom w:val="none" w:sz="0" w:space="0" w:color="auto"/>
                                        <w:right w:val="none" w:sz="0" w:space="0" w:color="auto"/>
                                      </w:divBdr>
                                      <w:divsChild>
                                        <w:div w:id="1941335098">
                                          <w:marLeft w:val="0"/>
                                          <w:marRight w:val="0"/>
                                          <w:marTop w:val="0"/>
                                          <w:marBottom w:val="0"/>
                                          <w:divBdr>
                                            <w:top w:val="none" w:sz="0" w:space="0" w:color="auto"/>
                                            <w:left w:val="single" w:sz="6" w:space="0" w:color="999999"/>
                                            <w:bottom w:val="none" w:sz="0" w:space="0" w:color="auto"/>
                                            <w:right w:val="none" w:sz="0" w:space="0" w:color="auto"/>
                                          </w:divBdr>
                                          <w:divsChild>
                                            <w:div w:id="1513373563">
                                              <w:marLeft w:val="0"/>
                                              <w:marRight w:val="0"/>
                                              <w:marTop w:val="150"/>
                                              <w:marBottom w:val="150"/>
                                              <w:divBdr>
                                                <w:top w:val="none" w:sz="0" w:space="0" w:color="auto"/>
                                                <w:left w:val="none" w:sz="0" w:space="0" w:color="auto"/>
                                                <w:bottom w:val="none" w:sz="0" w:space="0" w:color="auto"/>
                                                <w:right w:val="none" w:sz="0" w:space="0" w:color="auto"/>
                                              </w:divBdr>
                                              <w:divsChild>
                                                <w:div w:id="1625844569">
                                                  <w:marLeft w:val="0"/>
                                                  <w:marRight w:val="0"/>
                                                  <w:marTop w:val="0"/>
                                                  <w:marBottom w:val="0"/>
                                                  <w:divBdr>
                                                    <w:top w:val="none" w:sz="0" w:space="0" w:color="auto"/>
                                                    <w:left w:val="none" w:sz="0" w:space="0" w:color="auto"/>
                                                    <w:bottom w:val="none" w:sz="0" w:space="0" w:color="auto"/>
                                                    <w:right w:val="none" w:sz="0" w:space="0" w:color="auto"/>
                                                  </w:divBdr>
                                                  <w:divsChild>
                                                    <w:div w:id="178207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9235402">
      <w:bodyDiv w:val="1"/>
      <w:marLeft w:val="0"/>
      <w:marRight w:val="0"/>
      <w:marTop w:val="0"/>
      <w:marBottom w:val="0"/>
      <w:divBdr>
        <w:top w:val="none" w:sz="0" w:space="0" w:color="auto"/>
        <w:left w:val="none" w:sz="0" w:space="0" w:color="auto"/>
        <w:bottom w:val="none" w:sz="0" w:space="0" w:color="auto"/>
        <w:right w:val="none" w:sz="0" w:space="0" w:color="auto"/>
      </w:divBdr>
      <w:divsChild>
        <w:div w:id="777070453">
          <w:marLeft w:val="0"/>
          <w:marRight w:val="0"/>
          <w:marTop w:val="0"/>
          <w:marBottom w:val="0"/>
          <w:divBdr>
            <w:top w:val="none" w:sz="0" w:space="0" w:color="auto"/>
            <w:left w:val="none" w:sz="0" w:space="0" w:color="auto"/>
            <w:bottom w:val="none" w:sz="0" w:space="0" w:color="auto"/>
            <w:right w:val="none" w:sz="0" w:space="0" w:color="auto"/>
          </w:divBdr>
          <w:divsChild>
            <w:div w:id="939726500">
              <w:marLeft w:val="0"/>
              <w:marRight w:val="0"/>
              <w:marTop w:val="0"/>
              <w:marBottom w:val="0"/>
              <w:divBdr>
                <w:top w:val="none" w:sz="0" w:space="0" w:color="auto"/>
                <w:left w:val="none" w:sz="0" w:space="0" w:color="auto"/>
                <w:bottom w:val="none" w:sz="0" w:space="0" w:color="auto"/>
                <w:right w:val="none" w:sz="0" w:space="0" w:color="auto"/>
              </w:divBdr>
              <w:divsChild>
                <w:div w:id="890842403">
                  <w:marLeft w:val="0"/>
                  <w:marRight w:val="0"/>
                  <w:marTop w:val="0"/>
                  <w:marBottom w:val="0"/>
                  <w:divBdr>
                    <w:top w:val="none" w:sz="0" w:space="0" w:color="auto"/>
                    <w:left w:val="none" w:sz="0" w:space="0" w:color="auto"/>
                    <w:bottom w:val="none" w:sz="0" w:space="0" w:color="auto"/>
                    <w:right w:val="none" w:sz="0" w:space="0" w:color="auto"/>
                  </w:divBdr>
                  <w:divsChild>
                    <w:div w:id="1623028408">
                      <w:marLeft w:val="0"/>
                      <w:marRight w:val="0"/>
                      <w:marTop w:val="0"/>
                      <w:marBottom w:val="0"/>
                      <w:divBdr>
                        <w:top w:val="none" w:sz="0" w:space="0" w:color="auto"/>
                        <w:left w:val="none" w:sz="0" w:space="0" w:color="auto"/>
                        <w:bottom w:val="none" w:sz="0" w:space="0" w:color="auto"/>
                        <w:right w:val="none" w:sz="0" w:space="0" w:color="auto"/>
                      </w:divBdr>
                      <w:divsChild>
                        <w:div w:id="1774394499">
                          <w:marLeft w:val="0"/>
                          <w:marRight w:val="0"/>
                          <w:marTop w:val="0"/>
                          <w:marBottom w:val="0"/>
                          <w:divBdr>
                            <w:top w:val="none" w:sz="0" w:space="0" w:color="auto"/>
                            <w:left w:val="none" w:sz="0" w:space="0" w:color="auto"/>
                            <w:bottom w:val="none" w:sz="0" w:space="0" w:color="auto"/>
                            <w:right w:val="none" w:sz="0" w:space="0" w:color="auto"/>
                          </w:divBdr>
                          <w:divsChild>
                            <w:div w:id="10224206">
                              <w:marLeft w:val="0"/>
                              <w:marRight w:val="0"/>
                              <w:marTop w:val="0"/>
                              <w:marBottom w:val="0"/>
                              <w:divBdr>
                                <w:top w:val="none" w:sz="0" w:space="0" w:color="auto"/>
                                <w:left w:val="none" w:sz="0" w:space="0" w:color="auto"/>
                                <w:bottom w:val="none" w:sz="0" w:space="0" w:color="auto"/>
                                <w:right w:val="none" w:sz="0" w:space="0" w:color="auto"/>
                              </w:divBdr>
                              <w:divsChild>
                                <w:div w:id="1356883688">
                                  <w:marLeft w:val="0"/>
                                  <w:marRight w:val="0"/>
                                  <w:marTop w:val="0"/>
                                  <w:marBottom w:val="0"/>
                                  <w:divBdr>
                                    <w:top w:val="none" w:sz="0" w:space="0" w:color="auto"/>
                                    <w:left w:val="none" w:sz="0" w:space="0" w:color="auto"/>
                                    <w:bottom w:val="none" w:sz="0" w:space="0" w:color="auto"/>
                                    <w:right w:val="none" w:sz="0" w:space="0" w:color="auto"/>
                                  </w:divBdr>
                                  <w:divsChild>
                                    <w:div w:id="587353512">
                                      <w:marLeft w:val="0"/>
                                      <w:marRight w:val="0"/>
                                      <w:marTop w:val="0"/>
                                      <w:marBottom w:val="0"/>
                                      <w:divBdr>
                                        <w:top w:val="none" w:sz="0" w:space="0" w:color="auto"/>
                                        <w:left w:val="none" w:sz="0" w:space="0" w:color="auto"/>
                                        <w:bottom w:val="none" w:sz="0" w:space="0" w:color="auto"/>
                                        <w:right w:val="none" w:sz="0" w:space="0" w:color="auto"/>
                                      </w:divBdr>
                                      <w:divsChild>
                                        <w:div w:id="322588802">
                                          <w:marLeft w:val="0"/>
                                          <w:marRight w:val="0"/>
                                          <w:marTop w:val="0"/>
                                          <w:marBottom w:val="0"/>
                                          <w:divBdr>
                                            <w:top w:val="none" w:sz="0" w:space="0" w:color="auto"/>
                                            <w:left w:val="single" w:sz="6" w:space="0" w:color="999999"/>
                                            <w:bottom w:val="none" w:sz="0" w:space="0" w:color="auto"/>
                                            <w:right w:val="none" w:sz="0" w:space="0" w:color="auto"/>
                                          </w:divBdr>
                                          <w:divsChild>
                                            <w:div w:id="794107673">
                                              <w:marLeft w:val="0"/>
                                              <w:marRight w:val="0"/>
                                              <w:marTop w:val="150"/>
                                              <w:marBottom w:val="150"/>
                                              <w:divBdr>
                                                <w:top w:val="none" w:sz="0" w:space="0" w:color="auto"/>
                                                <w:left w:val="none" w:sz="0" w:space="0" w:color="auto"/>
                                                <w:bottom w:val="none" w:sz="0" w:space="0" w:color="auto"/>
                                                <w:right w:val="none" w:sz="0" w:space="0" w:color="auto"/>
                                              </w:divBdr>
                                              <w:divsChild>
                                                <w:div w:id="1352031787">
                                                  <w:marLeft w:val="0"/>
                                                  <w:marRight w:val="0"/>
                                                  <w:marTop w:val="0"/>
                                                  <w:marBottom w:val="0"/>
                                                  <w:divBdr>
                                                    <w:top w:val="none" w:sz="0" w:space="0" w:color="auto"/>
                                                    <w:left w:val="none" w:sz="0" w:space="0" w:color="auto"/>
                                                    <w:bottom w:val="none" w:sz="0" w:space="0" w:color="auto"/>
                                                    <w:right w:val="none" w:sz="0" w:space="0" w:color="auto"/>
                                                  </w:divBdr>
                                                  <w:divsChild>
                                                    <w:div w:id="18803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2054609">
      <w:bodyDiv w:val="1"/>
      <w:marLeft w:val="0"/>
      <w:marRight w:val="0"/>
      <w:marTop w:val="0"/>
      <w:marBottom w:val="0"/>
      <w:divBdr>
        <w:top w:val="none" w:sz="0" w:space="0" w:color="auto"/>
        <w:left w:val="none" w:sz="0" w:space="0" w:color="auto"/>
        <w:bottom w:val="none" w:sz="0" w:space="0" w:color="auto"/>
        <w:right w:val="none" w:sz="0" w:space="0" w:color="auto"/>
      </w:divBdr>
      <w:divsChild>
        <w:div w:id="634875631">
          <w:marLeft w:val="0"/>
          <w:marRight w:val="0"/>
          <w:marTop w:val="0"/>
          <w:marBottom w:val="0"/>
          <w:divBdr>
            <w:top w:val="none" w:sz="0" w:space="0" w:color="auto"/>
            <w:left w:val="none" w:sz="0" w:space="0" w:color="auto"/>
            <w:bottom w:val="none" w:sz="0" w:space="0" w:color="auto"/>
            <w:right w:val="none" w:sz="0" w:space="0" w:color="auto"/>
          </w:divBdr>
          <w:divsChild>
            <w:div w:id="1269197264">
              <w:marLeft w:val="0"/>
              <w:marRight w:val="0"/>
              <w:marTop w:val="0"/>
              <w:marBottom w:val="300"/>
              <w:divBdr>
                <w:top w:val="none" w:sz="0" w:space="0" w:color="auto"/>
                <w:left w:val="none" w:sz="0" w:space="0" w:color="auto"/>
                <w:bottom w:val="none" w:sz="0" w:space="0" w:color="auto"/>
                <w:right w:val="none" w:sz="0" w:space="0" w:color="auto"/>
              </w:divBdr>
            </w:div>
            <w:div w:id="961617800">
              <w:marLeft w:val="0"/>
              <w:marRight w:val="0"/>
              <w:marTop w:val="0"/>
              <w:marBottom w:val="0"/>
              <w:divBdr>
                <w:top w:val="none" w:sz="0" w:space="0" w:color="auto"/>
                <w:left w:val="none" w:sz="0" w:space="0" w:color="auto"/>
                <w:bottom w:val="none" w:sz="0" w:space="0" w:color="auto"/>
                <w:right w:val="none" w:sz="0" w:space="0" w:color="auto"/>
              </w:divBdr>
              <w:divsChild>
                <w:div w:id="45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idlandsmedicines.nhs.uk/filestore/Standard_phrasescurrent.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dlandsmedicines.nhs.uk/filestore/Instructions_Revisions_Conventions.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G\Documents\Templates\UKDILAS_Template(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UKDILAS_Template(7.0).dotx</Template>
  <TotalTime>61</TotalTime>
  <Pages>1</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BNF Drug</vt:lpstr>
    </vt:vector>
  </TitlesOfParts>
  <Company>University Hospitals of Leicester NHS Trust</Company>
  <LinksUpToDate>false</LinksUpToDate>
  <CharactersWithSpaces>18798</CharactersWithSpaces>
  <SharedDoc>false</SharedDoc>
  <HLinks>
    <vt:vector size="12" baseType="variant">
      <vt:variant>
        <vt:i4>458859</vt:i4>
      </vt:variant>
      <vt:variant>
        <vt:i4>3</vt:i4>
      </vt:variant>
      <vt:variant>
        <vt:i4>0</vt:i4>
      </vt:variant>
      <vt:variant>
        <vt:i4>5</vt:i4>
      </vt:variant>
      <vt:variant>
        <vt:lpwstr>http://www.midlandsmedicines.nhs.uk/filestore/Standard_phrasescurrent.doc</vt:lpwstr>
      </vt:variant>
      <vt:variant>
        <vt:lpwstr/>
      </vt:variant>
      <vt:variant>
        <vt:i4>5832718</vt:i4>
      </vt:variant>
      <vt:variant>
        <vt:i4>0</vt:i4>
      </vt:variant>
      <vt:variant>
        <vt:i4>0</vt:i4>
      </vt:variant>
      <vt:variant>
        <vt:i4>5</vt:i4>
      </vt:variant>
      <vt:variant>
        <vt:lpwstr>http://www.midlandsmedicines.nhs.uk/filestore/Instructions_Revisions_Conventions.doc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BNF Drug</dc:title>
  <dc:creator>PeterG</dc:creator>
  <cp:lastModifiedBy>PeterG</cp:lastModifiedBy>
  <cp:revision>6</cp:revision>
  <dcterms:created xsi:type="dcterms:W3CDTF">2017-01-09T13:01:00Z</dcterms:created>
  <dcterms:modified xsi:type="dcterms:W3CDTF">2017-01-16T01:11:00Z</dcterms:modified>
</cp:coreProperties>
</file>